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D000000">
      <w:pPr>
        <w:keepNext w:val="1"/>
        <w:ind w:firstLine="709" w:left="0"/>
        <w:jc w:val="right"/>
        <w:rPr>
          <w:rFonts w:ascii="Times New Roman" w:hAnsi="Times New Roman"/>
          <w:b w:val="1"/>
          <w:sz w:val="24"/>
        </w:rPr>
      </w:pPr>
      <w:r>
        <w:rPr>
          <w:rFonts w:ascii="Times New Roman" w:hAnsi="Times New Roman"/>
          <w:b w:val="1"/>
          <w:sz w:val="24"/>
        </w:rPr>
        <w:t xml:space="preserve">ПРИЛОЖЕНИЕ </w:t>
      </w:r>
      <w:r>
        <w:rPr>
          <w:rFonts w:ascii="Times New Roman" w:hAnsi="Times New Roman"/>
          <w:b w:val="1"/>
          <w:sz w:val="24"/>
        </w:rPr>
        <w:t>1</w:t>
      </w:r>
    </w:p>
    <w:p w14:paraId="0E000000">
      <w:pPr>
        <w:ind/>
        <w:jc w:val="right"/>
        <w:rPr>
          <w:rFonts w:ascii="Times New Roman" w:hAnsi="Times New Roman"/>
          <w:b w:val="1"/>
          <w:sz w:val="24"/>
        </w:rPr>
      </w:pPr>
      <w:r>
        <w:rPr>
          <w:rFonts w:ascii="Times New Roman" w:hAnsi="Times New Roman"/>
          <w:b w:val="1"/>
          <w:sz w:val="24"/>
        </w:rPr>
        <w:t xml:space="preserve">к </w:t>
      </w:r>
      <w:r>
        <w:rPr>
          <w:rFonts w:ascii="Times New Roman" w:hAnsi="Times New Roman"/>
          <w:b w:val="1"/>
          <w:sz w:val="24"/>
        </w:rPr>
        <w:t>ПОП</w:t>
      </w:r>
      <w:r>
        <w:rPr>
          <w:rFonts w:ascii="Times New Roman" w:hAnsi="Times New Roman"/>
          <w:b w:val="1"/>
          <w:sz w:val="24"/>
        </w:rPr>
        <w:t>-П</w:t>
      </w:r>
      <w:r>
        <w:rPr>
          <w:rFonts w:ascii="Times New Roman" w:hAnsi="Times New Roman"/>
          <w:b w:val="1"/>
          <w:sz w:val="24"/>
        </w:rPr>
        <w:t xml:space="preserve"> по специальности </w:t>
      </w:r>
      <w:r>
        <w:rPr>
          <w:rFonts w:ascii="Times New Roman" w:hAnsi="Times New Roman"/>
          <w:b w:val="1"/>
          <w:sz w:val="24"/>
        </w:rPr>
        <w:br/>
      </w:r>
      <w:r>
        <w:rPr>
          <w:rFonts w:ascii="Times New Roman" w:hAnsi="Times New Roman"/>
          <w:b w:val="1"/>
          <w:sz w:val="24"/>
        </w:rPr>
        <w:t>38.02.01 Экономика и бухгалтерский учет (по отраслям)</w:t>
      </w:r>
    </w:p>
    <w:p w14:paraId="0F000000">
      <w:pPr>
        <w:keepNext w:val="1"/>
        <w:ind/>
        <w:jc w:val="right"/>
        <w:outlineLvl w:val="0"/>
        <w:rPr>
          <w:rFonts w:ascii="Times New Roman" w:hAnsi="Times New Roman"/>
          <w:b w:val="1"/>
          <w:sz w:val="24"/>
        </w:rPr>
      </w:pPr>
    </w:p>
    <w:p w14:paraId="10000000"/>
    <w:p w14:paraId="11000000">
      <w:pPr>
        <w:keepNext w:val="1"/>
        <w:spacing w:after="120" w:before="240"/>
        <w:ind/>
        <w:jc w:val="center"/>
        <w:outlineLvl w:val="0"/>
        <w:rPr>
          <w:rFonts w:ascii="Times New Roman" w:hAnsi="Times New Roman"/>
          <w:b w:val="1"/>
          <w:sz w:val="24"/>
        </w:rPr>
      </w:pPr>
      <w:r>
        <w:rPr>
          <w:rFonts w:ascii="Times New Roman" w:hAnsi="Times New Roman"/>
          <w:b w:val="1"/>
          <w:sz w:val="24"/>
        </w:rPr>
        <w:t xml:space="preserve">ПРИМЕРНЫЕ </w:t>
      </w:r>
      <w:r>
        <w:rPr>
          <w:rFonts w:ascii="Times New Roman" w:hAnsi="Times New Roman"/>
          <w:b w:val="1"/>
          <w:sz w:val="24"/>
        </w:rPr>
        <w:t>РАБОЧИЕ</w:t>
      </w:r>
      <w:r>
        <w:rPr>
          <w:rFonts w:ascii="Times New Roman" w:hAnsi="Times New Roman"/>
          <w:b w:val="1"/>
          <w:sz w:val="24"/>
        </w:rPr>
        <w:t xml:space="preserve"> </w:t>
      </w:r>
      <w:r>
        <w:rPr>
          <w:rFonts w:ascii="Times New Roman" w:hAnsi="Times New Roman"/>
          <w:b w:val="1"/>
          <w:sz w:val="24"/>
        </w:rPr>
        <w:t>ПРОГРАММЫ ПРОФЕССИОНАЛЬНЫХ МОДУЛЕЙ</w:t>
      </w:r>
    </w:p>
    <w:p w14:paraId="12000000">
      <w:pPr>
        <w:ind/>
        <w:jc w:val="center"/>
        <w:rPr>
          <w:rFonts w:ascii="Times New Roman" w:hAnsi="Times New Roman"/>
          <w:sz w:val="24"/>
        </w:rPr>
      </w:pPr>
    </w:p>
    <w:p w14:paraId="13000000">
      <w:pPr>
        <w:ind/>
        <w:jc w:val="center"/>
        <w:rPr>
          <w:rFonts w:ascii="Times New Roman" w:hAnsi="Times New Roman"/>
          <w:sz w:val="24"/>
        </w:rPr>
      </w:pPr>
      <w:r>
        <w:rPr>
          <w:rFonts w:ascii="Times New Roman" w:hAnsi="Times New Roman"/>
          <w:sz w:val="24"/>
        </w:rPr>
        <w:t>ОГЛАВЛЕНИЕ</w:t>
      </w:r>
    </w:p>
    <w:p>
      <w:pPr>
        <w:pStyle w:val="Style_2"/>
        <w:tabs>
          <w:tab w:leader="dot" w:pos="9639" w:val="right"/>
        </w:tabs>
      </w:pPr>
      <w:r>
        <w:rPr>
          <w:b w:val="1"/>
        </w:rPr>
        <w:fldChar w:fldCharType="begin"/>
      </w:r>
      <w:r>
        <w:rPr>
          <w:b w:val="1"/>
        </w:rPr>
        <w:instrText xml:space="preserve">TOC \h \z \u \o "3-3" \t "Заголовок1,1"</w:instrText>
      </w:r>
      <w:r>
        <w:rPr>
          <w:b w:val="1"/>
        </w:rPr>
        <w:fldChar w:fldCharType="separate"/>
      </w:r>
      <w:r>
        <w:rPr>
          <w:b w:val="1"/>
        </w:rPr>
        <w:t>Элементы оглавления не найдены.</w:t>
      </w:r>
    </w:p>
    <w:p w14:paraId="15000000">
      <w:r>
        <w:t>Примените стили заголовков, чтобы составить оглавление.</w:t>
      </w:r>
    </w:p>
    <w:p>
      <w:r>
        <w:fldChar w:fldCharType="end"/>
      </w:r>
    </w:p>
    <w:p w14:paraId="17000000">
      <w:pPr>
        <w:ind/>
        <w:jc w:val="center"/>
        <w:rPr>
          <w:rFonts w:ascii="Times New Roman" w:hAnsi="Times New Roman"/>
          <w:b w:val="1"/>
          <w:i w:val="1"/>
          <w:sz w:val="24"/>
        </w:rPr>
      </w:pPr>
    </w:p>
    <w:p w14:paraId="18000000">
      <w:pPr>
        <w:ind/>
        <w:jc w:val="center"/>
        <w:rPr>
          <w:rFonts w:ascii="Times New Roman" w:hAnsi="Times New Roman"/>
          <w:b w:val="1"/>
          <w:i w:val="1"/>
          <w:sz w:val="24"/>
        </w:rPr>
      </w:pPr>
    </w:p>
    <w:p w14:paraId="19000000">
      <w:pPr>
        <w:ind/>
        <w:jc w:val="center"/>
        <w:rPr>
          <w:rFonts w:ascii="Times New Roman" w:hAnsi="Times New Roman"/>
          <w:b w:val="1"/>
          <w:i w:val="1"/>
          <w:sz w:val="24"/>
        </w:rPr>
      </w:pPr>
    </w:p>
    <w:p w14:paraId="1A000000">
      <w:pPr>
        <w:ind/>
        <w:jc w:val="center"/>
        <w:rPr>
          <w:rFonts w:ascii="Times New Roman" w:hAnsi="Times New Roman"/>
          <w:b w:val="1"/>
          <w:i w:val="1"/>
          <w:sz w:val="24"/>
        </w:rPr>
      </w:pPr>
    </w:p>
    <w:p w14:paraId="1B000000">
      <w:pPr>
        <w:ind/>
        <w:jc w:val="center"/>
        <w:rPr>
          <w:rFonts w:ascii="Times New Roman" w:hAnsi="Times New Roman"/>
          <w:b w:val="1"/>
          <w:i w:val="1"/>
          <w:sz w:val="24"/>
        </w:rPr>
      </w:pPr>
    </w:p>
    <w:p w14:paraId="1C000000">
      <w:pPr>
        <w:ind/>
        <w:jc w:val="center"/>
        <w:rPr>
          <w:rFonts w:ascii="Times New Roman" w:hAnsi="Times New Roman"/>
          <w:b w:val="1"/>
          <w:i w:val="1"/>
          <w:sz w:val="24"/>
        </w:rPr>
      </w:pPr>
    </w:p>
    <w:p w14:paraId="1D000000">
      <w:pPr>
        <w:ind/>
        <w:jc w:val="center"/>
        <w:rPr>
          <w:rFonts w:ascii="Times New Roman" w:hAnsi="Times New Roman"/>
          <w:b w:val="1"/>
          <w:i w:val="1"/>
          <w:sz w:val="24"/>
        </w:rPr>
      </w:pPr>
    </w:p>
    <w:p w14:paraId="1E000000">
      <w:pPr>
        <w:ind/>
        <w:jc w:val="center"/>
        <w:rPr>
          <w:rFonts w:ascii="Times New Roman" w:hAnsi="Times New Roman"/>
          <w:b w:val="1"/>
          <w:i w:val="1"/>
          <w:sz w:val="24"/>
        </w:rPr>
      </w:pPr>
    </w:p>
    <w:p w14:paraId="1F000000">
      <w:pPr>
        <w:ind/>
        <w:jc w:val="center"/>
        <w:rPr>
          <w:rFonts w:ascii="Times New Roman" w:hAnsi="Times New Roman"/>
          <w:b w:val="1"/>
          <w:i w:val="1"/>
          <w:sz w:val="24"/>
        </w:rPr>
      </w:pPr>
    </w:p>
    <w:p w14:paraId="20000000">
      <w:pPr>
        <w:ind/>
        <w:jc w:val="center"/>
        <w:rPr>
          <w:rFonts w:ascii="Times New Roman" w:hAnsi="Times New Roman"/>
          <w:b w:val="1"/>
          <w:i w:val="1"/>
          <w:sz w:val="24"/>
        </w:rPr>
      </w:pPr>
    </w:p>
    <w:p w14:paraId="21000000">
      <w:pPr>
        <w:ind/>
        <w:jc w:val="center"/>
        <w:rPr>
          <w:rFonts w:ascii="Times New Roman" w:hAnsi="Times New Roman"/>
          <w:b w:val="1"/>
          <w:i w:val="1"/>
          <w:sz w:val="24"/>
        </w:rPr>
      </w:pPr>
    </w:p>
    <w:p w14:paraId="22000000">
      <w:pPr>
        <w:ind/>
        <w:jc w:val="center"/>
        <w:rPr>
          <w:rFonts w:ascii="Times New Roman" w:hAnsi="Times New Roman"/>
          <w:b w:val="1"/>
          <w:i w:val="1"/>
          <w:sz w:val="24"/>
        </w:rPr>
      </w:pPr>
    </w:p>
    <w:p w14:paraId="23000000">
      <w:pPr>
        <w:ind/>
        <w:jc w:val="center"/>
        <w:rPr>
          <w:rFonts w:ascii="Times New Roman" w:hAnsi="Times New Roman"/>
          <w:b w:val="1"/>
          <w:i w:val="1"/>
          <w:sz w:val="24"/>
        </w:rPr>
      </w:pPr>
    </w:p>
    <w:p w14:paraId="24000000">
      <w:pPr>
        <w:ind/>
        <w:jc w:val="center"/>
        <w:rPr>
          <w:rFonts w:ascii="Times New Roman" w:hAnsi="Times New Roman"/>
          <w:b w:val="1"/>
          <w:i w:val="1"/>
          <w:sz w:val="24"/>
        </w:rPr>
      </w:pPr>
    </w:p>
    <w:p w14:paraId="25000000">
      <w:pPr>
        <w:ind/>
        <w:jc w:val="center"/>
        <w:rPr>
          <w:rFonts w:ascii="Times New Roman" w:hAnsi="Times New Roman"/>
          <w:b w:val="1"/>
          <w:i w:val="1"/>
          <w:sz w:val="24"/>
        </w:rPr>
      </w:pPr>
    </w:p>
    <w:p w14:paraId="26000000">
      <w:pPr>
        <w:ind/>
        <w:jc w:val="center"/>
        <w:rPr>
          <w:rFonts w:ascii="Times New Roman" w:hAnsi="Times New Roman"/>
          <w:b w:val="1"/>
          <w:i w:val="1"/>
          <w:sz w:val="24"/>
        </w:rPr>
      </w:pPr>
    </w:p>
    <w:p w14:paraId="27000000">
      <w:pPr>
        <w:ind/>
        <w:jc w:val="center"/>
        <w:rPr>
          <w:rFonts w:ascii="Times New Roman" w:hAnsi="Times New Roman"/>
          <w:b w:val="1"/>
          <w:i w:val="1"/>
          <w:sz w:val="24"/>
        </w:rPr>
      </w:pPr>
    </w:p>
    <w:p w14:paraId="28000000">
      <w:pPr>
        <w:ind/>
        <w:jc w:val="center"/>
        <w:rPr>
          <w:rFonts w:ascii="Times New Roman" w:hAnsi="Times New Roman"/>
          <w:b w:val="1"/>
          <w:i w:val="1"/>
          <w:sz w:val="24"/>
        </w:rPr>
      </w:pPr>
    </w:p>
    <w:p w14:paraId="29000000">
      <w:pPr>
        <w:ind/>
        <w:jc w:val="center"/>
        <w:rPr>
          <w:rFonts w:ascii="Times New Roman" w:hAnsi="Times New Roman"/>
          <w:b w:val="1"/>
          <w:i w:val="1"/>
          <w:sz w:val="24"/>
        </w:rPr>
      </w:pPr>
    </w:p>
    <w:p w14:paraId="2A000000">
      <w:pPr>
        <w:ind/>
        <w:jc w:val="center"/>
        <w:rPr>
          <w:rFonts w:ascii="Times New Roman" w:hAnsi="Times New Roman"/>
          <w:b w:val="1"/>
          <w:i w:val="1"/>
          <w:sz w:val="24"/>
        </w:rPr>
      </w:pPr>
    </w:p>
    <w:p w14:paraId="2B000000">
      <w:pPr>
        <w:ind/>
        <w:jc w:val="center"/>
        <w:rPr>
          <w:rFonts w:ascii="Times New Roman" w:hAnsi="Times New Roman"/>
          <w:b w:val="1"/>
          <w:i w:val="1"/>
          <w:sz w:val="24"/>
        </w:rPr>
      </w:pPr>
    </w:p>
    <w:p w14:paraId="2C000000">
      <w:pPr>
        <w:ind/>
        <w:jc w:val="center"/>
        <w:rPr>
          <w:rFonts w:ascii="Times New Roman" w:hAnsi="Times New Roman"/>
          <w:b w:val="1"/>
          <w:i w:val="1"/>
          <w:sz w:val="24"/>
        </w:rPr>
      </w:pPr>
    </w:p>
    <w:p w14:paraId="2D000000">
      <w:pPr>
        <w:ind/>
        <w:jc w:val="center"/>
        <w:rPr>
          <w:rFonts w:ascii="Times New Roman" w:hAnsi="Times New Roman"/>
          <w:b w:val="1"/>
          <w:i w:val="1"/>
          <w:sz w:val="24"/>
        </w:rPr>
      </w:pPr>
    </w:p>
    <w:p w14:paraId="2E000000">
      <w:pPr>
        <w:ind/>
        <w:jc w:val="center"/>
        <w:rPr>
          <w:rFonts w:ascii="Times New Roman" w:hAnsi="Times New Roman"/>
          <w:b w:val="1"/>
          <w:i w:val="1"/>
          <w:sz w:val="24"/>
        </w:rPr>
      </w:pPr>
    </w:p>
    <w:p w14:paraId="2F000000">
      <w:pPr>
        <w:ind/>
        <w:jc w:val="center"/>
        <w:rPr>
          <w:rFonts w:ascii="Times New Roman" w:hAnsi="Times New Roman"/>
          <w:b w:val="1"/>
          <w:i w:val="1"/>
          <w:sz w:val="24"/>
        </w:rPr>
      </w:pPr>
    </w:p>
    <w:p w14:paraId="30000000">
      <w:pPr>
        <w:ind/>
        <w:jc w:val="center"/>
        <w:rPr>
          <w:rFonts w:ascii="Times New Roman" w:hAnsi="Times New Roman"/>
          <w:b w:val="1"/>
          <w:i w:val="1"/>
          <w:sz w:val="24"/>
        </w:rPr>
      </w:pPr>
    </w:p>
    <w:p w14:paraId="31000000">
      <w:pPr>
        <w:ind/>
        <w:jc w:val="center"/>
        <w:rPr>
          <w:rFonts w:ascii="Times New Roman" w:hAnsi="Times New Roman"/>
          <w:b w:val="1"/>
          <w:i w:val="1"/>
          <w:sz w:val="24"/>
        </w:rPr>
      </w:pPr>
    </w:p>
    <w:p w14:paraId="32000000">
      <w:pPr>
        <w:ind/>
        <w:jc w:val="center"/>
        <w:rPr>
          <w:rFonts w:ascii="Times New Roman" w:hAnsi="Times New Roman"/>
          <w:b w:val="1"/>
          <w:i w:val="1"/>
          <w:sz w:val="24"/>
        </w:rPr>
      </w:pPr>
    </w:p>
    <w:p w14:paraId="33000000">
      <w:pPr>
        <w:ind/>
        <w:jc w:val="center"/>
        <w:rPr>
          <w:rFonts w:ascii="Times New Roman" w:hAnsi="Times New Roman"/>
          <w:b w:val="1"/>
          <w:i w:val="1"/>
          <w:sz w:val="24"/>
        </w:rPr>
      </w:pPr>
    </w:p>
    <w:p w14:paraId="34000000">
      <w:pPr>
        <w:ind/>
        <w:jc w:val="center"/>
        <w:rPr>
          <w:rFonts w:ascii="Times New Roman" w:hAnsi="Times New Roman"/>
          <w:b w:val="1"/>
          <w:i w:val="1"/>
          <w:sz w:val="24"/>
        </w:rPr>
      </w:pPr>
    </w:p>
    <w:p w14:paraId="35000000">
      <w:pPr>
        <w:ind/>
        <w:jc w:val="center"/>
        <w:rPr>
          <w:rFonts w:ascii="Times New Roman" w:hAnsi="Times New Roman"/>
          <w:b w:val="1"/>
          <w:i w:val="1"/>
          <w:sz w:val="24"/>
        </w:rPr>
      </w:pPr>
    </w:p>
    <w:p w14:paraId="36000000">
      <w:pPr>
        <w:ind/>
        <w:jc w:val="center"/>
        <w:rPr>
          <w:rFonts w:ascii="Times New Roman" w:hAnsi="Times New Roman"/>
          <w:b w:val="1"/>
          <w:i w:val="1"/>
          <w:sz w:val="24"/>
        </w:rPr>
      </w:pPr>
    </w:p>
    <w:p w14:paraId="37000000">
      <w:pPr>
        <w:ind/>
        <w:jc w:val="center"/>
        <w:rPr>
          <w:rFonts w:ascii="Times New Roman" w:hAnsi="Times New Roman"/>
          <w:b w:val="1"/>
          <w:i w:val="1"/>
          <w:sz w:val="24"/>
        </w:rPr>
      </w:pPr>
    </w:p>
    <w:p w14:paraId="38000000">
      <w:pPr>
        <w:ind/>
        <w:jc w:val="center"/>
        <w:rPr>
          <w:rFonts w:ascii="Times New Roman" w:hAnsi="Times New Roman"/>
          <w:b w:val="1"/>
          <w:sz w:val="24"/>
        </w:rPr>
      </w:pPr>
      <w:r>
        <w:rPr>
          <w:rFonts w:ascii="Times New Roman" w:hAnsi="Times New Roman"/>
          <w:b w:val="1"/>
          <w:sz w:val="24"/>
        </w:rPr>
        <w:t>2025</w:t>
      </w:r>
      <w:r>
        <w:rPr>
          <w:rFonts w:ascii="Times New Roman" w:hAnsi="Times New Roman"/>
          <w:b w:val="1"/>
          <w:sz w:val="24"/>
        </w:rPr>
        <w:t xml:space="preserve"> </w:t>
      </w:r>
      <w:r>
        <w:rPr>
          <w:rFonts w:ascii="Times New Roman" w:hAnsi="Times New Roman"/>
          <w:b w:val="1"/>
          <w:sz w:val="24"/>
        </w:rPr>
        <w:t>г.</w:t>
      </w:r>
    </w:p>
    <w:p w14:paraId="39000000">
      <w:pPr>
        <w:rPr>
          <w:rFonts w:ascii="Times New Roman" w:hAnsi="Times New Roman"/>
          <w:b w:val="1"/>
          <w:color w:val="000000"/>
          <w:sz w:val="24"/>
        </w:rPr>
      </w:pPr>
      <w:r>
        <w:rPr>
          <w:rFonts w:ascii="Times New Roman" w:hAnsi="Times New Roman"/>
          <w:b w:val="1"/>
          <w:color w:val="000000"/>
          <w:sz w:val="24"/>
        </w:rPr>
        <w:br w:type="page"/>
      </w:r>
    </w:p>
    <w:p w14:paraId="3A000000">
      <w:pPr>
        <w:ind/>
        <w:jc w:val="right"/>
        <w:rPr>
          <w:rFonts w:ascii="Times New Roman" w:hAnsi="Times New Roman"/>
          <w:b w:val="1"/>
          <w:sz w:val="24"/>
        </w:rPr>
      </w:pPr>
      <w:r>
        <w:rPr>
          <w:rFonts w:ascii="Times New Roman" w:hAnsi="Times New Roman"/>
          <w:b w:val="1"/>
          <w:sz w:val="24"/>
        </w:rPr>
        <w:t>Приложение 1.1</w:t>
      </w:r>
    </w:p>
    <w:p w14:paraId="3B000000">
      <w:pPr>
        <w:ind/>
        <w:jc w:val="right"/>
        <w:rPr>
          <w:rFonts w:ascii="Times New Roman" w:hAnsi="Times New Roman"/>
          <w:b w:val="1"/>
          <w:sz w:val="24"/>
        </w:rPr>
      </w:pPr>
      <w:r>
        <w:rPr>
          <w:rFonts w:ascii="Times New Roman" w:hAnsi="Times New Roman"/>
          <w:b w:val="1"/>
          <w:sz w:val="24"/>
        </w:rPr>
        <w:t>к ПОП</w:t>
      </w:r>
      <w:r>
        <w:rPr>
          <w:rFonts w:ascii="Times New Roman" w:hAnsi="Times New Roman"/>
          <w:b w:val="1"/>
          <w:sz w:val="24"/>
        </w:rPr>
        <w:t>-П</w:t>
      </w:r>
      <w:r>
        <w:rPr>
          <w:rFonts w:ascii="Times New Roman" w:hAnsi="Times New Roman"/>
          <w:b w:val="1"/>
          <w:sz w:val="24"/>
        </w:rPr>
        <w:t xml:space="preserve"> по специальности </w:t>
      </w:r>
      <w:r>
        <w:rPr>
          <w:rFonts w:ascii="Times New Roman" w:hAnsi="Times New Roman"/>
          <w:b w:val="1"/>
          <w:sz w:val="24"/>
        </w:rPr>
        <w:br/>
      </w:r>
      <w:r>
        <w:rPr>
          <w:rFonts w:ascii="Times New Roman" w:hAnsi="Times New Roman"/>
          <w:b w:val="1"/>
          <w:sz w:val="24"/>
        </w:rPr>
        <w:t>38.02.01 Экономика и бухгалтерский учет (по отраслям)</w:t>
      </w:r>
    </w:p>
    <w:p w14:paraId="3C000000">
      <w:pPr>
        <w:ind/>
        <w:jc w:val="right"/>
        <w:rPr>
          <w:rFonts w:ascii="Times New Roman" w:hAnsi="Times New Roman"/>
          <w:b w:val="1"/>
          <w:color w:val="0070C0"/>
          <w:sz w:val="24"/>
        </w:rPr>
      </w:pPr>
    </w:p>
    <w:p w14:paraId="3D000000">
      <w:pPr>
        <w:ind/>
        <w:jc w:val="right"/>
        <w:rPr>
          <w:rFonts w:ascii="Times New Roman" w:hAnsi="Times New Roman"/>
          <w:b w:val="1"/>
          <w:color w:val="0070C0"/>
          <w:sz w:val="24"/>
        </w:rPr>
      </w:pPr>
    </w:p>
    <w:p w14:paraId="3E000000">
      <w:pPr>
        <w:ind/>
        <w:jc w:val="right"/>
        <w:rPr>
          <w:rFonts w:ascii="Times New Roman" w:hAnsi="Times New Roman"/>
          <w:b w:val="1"/>
          <w:color w:val="0070C0"/>
          <w:sz w:val="24"/>
        </w:rPr>
      </w:pPr>
    </w:p>
    <w:p w14:paraId="3F000000">
      <w:pPr>
        <w:ind/>
        <w:jc w:val="right"/>
        <w:rPr>
          <w:rFonts w:ascii="Times New Roman" w:hAnsi="Times New Roman"/>
          <w:b w:val="1"/>
          <w:color w:val="0070C0"/>
          <w:sz w:val="24"/>
        </w:rPr>
      </w:pPr>
    </w:p>
    <w:p w14:paraId="40000000">
      <w:pPr>
        <w:ind/>
        <w:jc w:val="right"/>
        <w:rPr>
          <w:rFonts w:ascii="Times New Roman" w:hAnsi="Times New Roman"/>
          <w:b w:val="1"/>
          <w:color w:val="0070C0"/>
          <w:sz w:val="24"/>
        </w:rPr>
      </w:pPr>
    </w:p>
    <w:p w14:paraId="41000000">
      <w:pPr>
        <w:ind/>
        <w:jc w:val="right"/>
        <w:rPr>
          <w:rFonts w:ascii="Times New Roman" w:hAnsi="Times New Roman"/>
          <w:b w:val="1"/>
          <w:color w:val="0070C0"/>
          <w:sz w:val="24"/>
        </w:rPr>
      </w:pPr>
    </w:p>
    <w:p w14:paraId="42000000">
      <w:pPr>
        <w:ind/>
        <w:jc w:val="right"/>
        <w:rPr>
          <w:rFonts w:ascii="Times New Roman" w:hAnsi="Times New Roman"/>
          <w:b w:val="1"/>
          <w:color w:val="0070C0"/>
          <w:sz w:val="24"/>
        </w:rPr>
      </w:pPr>
    </w:p>
    <w:p w14:paraId="43000000">
      <w:pPr>
        <w:ind/>
        <w:jc w:val="right"/>
        <w:rPr>
          <w:rFonts w:ascii="Times New Roman" w:hAnsi="Times New Roman"/>
          <w:b w:val="1"/>
          <w:color w:val="0070C0"/>
          <w:sz w:val="24"/>
        </w:rPr>
      </w:pPr>
    </w:p>
    <w:p w14:paraId="44000000">
      <w:pPr>
        <w:ind/>
        <w:jc w:val="right"/>
        <w:rPr>
          <w:rFonts w:ascii="Times New Roman" w:hAnsi="Times New Roman"/>
          <w:b w:val="1"/>
          <w:color w:val="0070C0"/>
          <w:sz w:val="24"/>
        </w:rPr>
      </w:pPr>
    </w:p>
    <w:p w14:paraId="45000000">
      <w:pPr>
        <w:ind/>
        <w:jc w:val="right"/>
        <w:rPr>
          <w:rFonts w:ascii="Times New Roman" w:hAnsi="Times New Roman"/>
          <w:b w:val="1"/>
          <w:color w:val="0070C0"/>
          <w:sz w:val="24"/>
        </w:rPr>
      </w:pPr>
    </w:p>
    <w:p w14:paraId="46000000">
      <w:pPr>
        <w:ind/>
        <w:jc w:val="right"/>
        <w:rPr>
          <w:rFonts w:ascii="Times New Roman" w:hAnsi="Times New Roman"/>
          <w:b w:val="1"/>
          <w:color w:val="0070C0"/>
          <w:sz w:val="24"/>
        </w:rPr>
      </w:pPr>
    </w:p>
    <w:p w14:paraId="47000000">
      <w:pPr>
        <w:ind/>
        <w:jc w:val="center"/>
        <w:rPr>
          <w:rFonts w:ascii="Times New Roman" w:hAnsi="Times New Roman"/>
          <w:b w:val="1"/>
          <w:sz w:val="24"/>
        </w:rPr>
      </w:pPr>
      <w:r>
        <w:rPr>
          <w:rFonts w:ascii="Times New Roman" w:hAnsi="Times New Roman"/>
          <w:b w:val="1"/>
          <w:sz w:val="24"/>
        </w:rPr>
        <w:t xml:space="preserve">Примерная </w:t>
      </w:r>
      <w:r>
        <w:rPr>
          <w:rFonts w:ascii="Times New Roman" w:hAnsi="Times New Roman"/>
          <w:b w:val="1"/>
          <w:sz w:val="24"/>
        </w:rPr>
        <w:t>рабочая программа профессионального модуля</w:t>
      </w:r>
    </w:p>
    <w:p w14:paraId="48000000">
      <w:pPr>
        <w:pStyle w:val="Style_3"/>
      </w:pPr>
      <w:r>
        <w:t>«</w:t>
      </w:r>
      <w:r>
        <w:t>ПМ.01 ВЕДЕНИЕ БУХГАЛТЕРСКОГО И НАЛОГОВОГО УЧЕТА</w:t>
      </w:r>
      <w:r>
        <w:t>»</w:t>
      </w:r>
    </w:p>
    <w:p w14:paraId="49000000">
      <w:pPr>
        <w:spacing w:line="360" w:lineRule="auto"/>
        <w:ind/>
        <w:jc w:val="center"/>
        <w:rPr>
          <w:rFonts w:ascii="Times New Roman" w:hAnsi="Times New Roman"/>
          <w:sz w:val="24"/>
        </w:rPr>
      </w:pPr>
    </w:p>
    <w:p w14:paraId="4A000000">
      <w:pPr>
        <w:spacing w:line="360" w:lineRule="auto"/>
        <w:ind/>
        <w:jc w:val="center"/>
        <w:rPr>
          <w:rFonts w:ascii="Times New Roman" w:hAnsi="Times New Roman"/>
          <w:sz w:val="24"/>
        </w:rPr>
      </w:pPr>
    </w:p>
    <w:p w14:paraId="4B000000">
      <w:pPr>
        <w:spacing w:line="360" w:lineRule="auto"/>
        <w:ind/>
        <w:jc w:val="center"/>
        <w:rPr>
          <w:rFonts w:ascii="Times New Roman" w:hAnsi="Times New Roman"/>
          <w:sz w:val="24"/>
        </w:rPr>
      </w:pPr>
    </w:p>
    <w:p w14:paraId="4C000000">
      <w:pPr>
        <w:spacing w:line="360" w:lineRule="auto"/>
        <w:ind/>
        <w:jc w:val="center"/>
        <w:rPr>
          <w:rFonts w:ascii="Times New Roman" w:hAnsi="Times New Roman"/>
          <w:sz w:val="24"/>
        </w:rPr>
      </w:pPr>
    </w:p>
    <w:p w14:paraId="4D000000">
      <w:pPr>
        <w:spacing w:line="360" w:lineRule="auto"/>
        <w:ind/>
        <w:jc w:val="center"/>
        <w:rPr>
          <w:rFonts w:ascii="Times New Roman" w:hAnsi="Times New Roman"/>
          <w:sz w:val="24"/>
        </w:rPr>
      </w:pPr>
    </w:p>
    <w:p w14:paraId="4E000000">
      <w:pPr>
        <w:spacing w:line="360" w:lineRule="auto"/>
        <w:ind/>
        <w:jc w:val="center"/>
        <w:rPr>
          <w:rFonts w:ascii="Times New Roman" w:hAnsi="Times New Roman"/>
          <w:sz w:val="24"/>
        </w:rPr>
      </w:pPr>
    </w:p>
    <w:p w14:paraId="4F000000">
      <w:pPr>
        <w:spacing w:line="360" w:lineRule="auto"/>
        <w:ind/>
        <w:jc w:val="center"/>
        <w:rPr>
          <w:rFonts w:ascii="Times New Roman" w:hAnsi="Times New Roman"/>
          <w:sz w:val="24"/>
        </w:rPr>
      </w:pPr>
    </w:p>
    <w:p w14:paraId="50000000">
      <w:pPr>
        <w:spacing w:line="360" w:lineRule="auto"/>
        <w:ind/>
        <w:jc w:val="center"/>
        <w:rPr>
          <w:rFonts w:ascii="Times New Roman" w:hAnsi="Times New Roman"/>
          <w:sz w:val="24"/>
        </w:rPr>
      </w:pPr>
    </w:p>
    <w:p w14:paraId="51000000">
      <w:pPr>
        <w:spacing w:line="360" w:lineRule="auto"/>
        <w:ind/>
        <w:jc w:val="center"/>
        <w:rPr>
          <w:rFonts w:ascii="Times New Roman" w:hAnsi="Times New Roman"/>
          <w:sz w:val="24"/>
        </w:rPr>
      </w:pPr>
    </w:p>
    <w:p w14:paraId="52000000">
      <w:pPr>
        <w:spacing w:line="360" w:lineRule="auto"/>
        <w:ind/>
        <w:jc w:val="center"/>
        <w:rPr>
          <w:rFonts w:ascii="Times New Roman" w:hAnsi="Times New Roman"/>
          <w:sz w:val="24"/>
        </w:rPr>
      </w:pPr>
    </w:p>
    <w:p w14:paraId="53000000">
      <w:pPr>
        <w:spacing w:line="360" w:lineRule="auto"/>
        <w:ind/>
        <w:jc w:val="center"/>
        <w:rPr>
          <w:rFonts w:ascii="Times New Roman" w:hAnsi="Times New Roman"/>
          <w:sz w:val="24"/>
        </w:rPr>
      </w:pPr>
    </w:p>
    <w:p w14:paraId="54000000">
      <w:pPr>
        <w:spacing w:line="360" w:lineRule="auto"/>
        <w:ind/>
        <w:jc w:val="center"/>
        <w:rPr>
          <w:rFonts w:ascii="Times New Roman" w:hAnsi="Times New Roman"/>
          <w:sz w:val="24"/>
        </w:rPr>
      </w:pPr>
    </w:p>
    <w:p w14:paraId="55000000">
      <w:pPr>
        <w:spacing w:line="360" w:lineRule="auto"/>
        <w:ind/>
        <w:jc w:val="center"/>
        <w:rPr>
          <w:rFonts w:ascii="Times New Roman" w:hAnsi="Times New Roman"/>
          <w:sz w:val="24"/>
        </w:rPr>
      </w:pPr>
    </w:p>
    <w:p w14:paraId="56000000">
      <w:pPr>
        <w:spacing w:line="360" w:lineRule="auto"/>
        <w:ind/>
        <w:jc w:val="center"/>
        <w:rPr>
          <w:rFonts w:ascii="Times New Roman" w:hAnsi="Times New Roman"/>
          <w:sz w:val="24"/>
        </w:rPr>
      </w:pPr>
    </w:p>
    <w:p w14:paraId="57000000">
      <w:pPr>
        <w:ind/>
        <w:jc w:val="center"/>
        <w:rPr>
          <w:rFonts w:ascii="Times New Roman" w:hAnsi="Times New Roman"/>
          <w:b w:val="1"/>
          <w:sz w:val="24"/>
        </w:rPr>
      </w:pPr>
      <w:r>
        <w:rPr>
          <w:rFonts w:ascii="Times New Roman" w:hAnsi="Times New Roman"/>
          <w:b w:val="1"/>
          <w:sz w:val="24"/>
        </w:rPr>
        <w:t>2025</w:t>
      </w:r>
      <w:r>
        <w:rPr>
          <w:rFonts w:ascii="Times New Roman" w:hAnsi="Times New Roman"/>
          <w:b w:val="1"/>
          <w:sz w:val="24"/>
        </w:rPr>
        <w:t xml:space="preserve"> г.</w:t>
      </w:r>
    </w:p>
    <w:p w14:paraId="58000000">
      <w:pPr>
        <w:rPr>
          <w:rFonts w:ascii="Times New Roman" w:hAnsi="Times New Roman"/>
          <w:b w:val="1"/>
          <w:sz w:val="24"/>
        </w:rPr>
      </w:pPr>
      <w:r>
        <w:br w:type="page"/>
      </w:r>
    </w:p>
    <w:p w14:paraId="59000000">
      <w:pPr>
        <w:ind/>
        <w:jc w:val="center"/>
        <w:rPr>
          <w:rFonts w:ascii="Times New Roman" w:hAnsi="Times New Roman"/>
          <w:b w:val="1"/>
          <w:sz w:val="24"/>
        </w:rPr>
      </w:pPr>
      <w:r>
        <w:rPr>
          <w:rFonts w:ascii="Times New Roman" w:hAnsi="Times New Roman"/>
          <w:b w:val="1"/>
          <w:sz w:val="24"/>
        </w:rPr>
        <w:t>СОДЕРЖАНИЕ ПРОГРАММЫ</w:t>
      </w:r>
    </w:p>
    <w:p w14:paraId="5A000000"/>
    <w:p>
      <w:pPr>
        <w:pStyle w:val="Style_2"/>
        <w:tabs>
          <w:tab w:leader="none" w:pos="9639" w:val="clear"/>
          <w:tab w:leader="dot" w:pos="9638" w:val="right"/>
        </w:tabs>
        <w:ind/>
      </w:pPr>
      <w:r>
        <w:fldChar w:fldCharType="begin"/>
      </w:r>
      <w:r>
        <w:instrText xml:space="preserve">TOC \h \z \t "Раздел 1,1,Раздел 1.1,2"</w:instrText>
      </w:r>
      <w:r>
        <w:fldChar w:fldCharType="separate"/>
      </w:r>
      <w:r>
        <w:fldChar w:fldCharType="begin"/>
      </w:r>
      <w:r>
        <w:instrText>HYPERLINK \l "__RefHeading___1"</w:instrText>
      </w:r>
      <w:r>
        <w:fldChar w:fldCharType="separate"/>
      </w:r>
      <w:r>
        <w:t>1. Общая характеристика ПРИМЕРНОЙ РАБОЧЕЙ ПРОГРАММЫ ПРОФЕССИОНАЛЬНОГО МОДУЛЯ</w:t>
      </w:r>
      <w:r>
        <w:tab/>
      </w:r>
      <w:r>
        <w:fldChar w:fldCharType="begin"/>
      </w:r>
      <w:r>
        <w:instrText>PAGEREF __RefHeading___1 \h</w:instrText>
      </w:r>
      <w:r>
        <w:fldChar w:fldCharType="separate"/>
      </w:r>
      <w:r>
        <w:t>4</w:t>
      </w:r>
      <w:r>
        <w:fldChar w:fldCharType="end"/>
      </w:r>
      <w:r>
        <w:fldChar w:fldCharType="end"/>
      </w:r>
    </w:p>
    <w:p w14:paraId="5C000000">
      <w:pPr>
        <w:pStyle w:val="Style_4"/>
        <w:tabs>
          <w:tab w:leader="none" w:pos="9639" w:val="clear"/>
          <w:tab w:leader="dot" w:pos="9638" w:val="right"/>
        </w:tabs>
        <w:ind/>
      </w:pPr>
      <w:r>
        <w:fldChar w:fldCharType="begin"/>
      </w:r>
      <w:r>
        <w:instrText>HYPERLINK \l "__RefHeading___2"</w:instrText>
      </w:r>
      <w:r>
        <w:fldChar w:fldCharType="separate"/>
      </w:r>
      <w:r>
        <w:t>1.1. Цель и место профессионального модуля в структуре образовательной программы</w:t>
      </w:r>
      <w:r>
        <w:tab/>
      </w:r>
      <w:r>
        <w:fldChar w:fldCharType="begin"/>
      </w:r>
      <w:r>
        <w:instrText>PAGEREF __RefHeading___2 \h</w:instrText>
      </w:r>
      <w:r>
        <w:fldChar w:fldCharType="separate"/>
      </w:r>
      <w:r>
        <w:t>4</w:t>
      </w:r>
      <w:r>
        <w:fldChar w:fldCharType="end"/>
      </w:r>
      <w:r>
        <w:fldChar w:fldCharType="end"/>
      </w:r>
    </w:p>
    <w:p w14:paraId="5D000000">
      <w:pPr>
        <w:pStyle w:val="Style_4"/>
        <w:tabs>
          <w:tab w:leader="none" w:pos="9639" w:val="clear"/>
          <w:tab w:leader="dot" w:pos="9638" w:val="right"/>
        </w:tabs>
        <w:ind/>
      </w:pPr>
      <w:r>
        <w:fldChar w:fldCharType="begin"/>
      </w:r>
      <w:r>
        <w:instrText>HYPERLINK \l "__RefHeading___3"</w:instrText>
      </w:r>
      <w:r>
        <w:fldChar w:fldCharType="separate"/>
      </w:r>
      <w:r>
        <w:t>1.2. Планируемые результаты освоения профессионального модуля</w:t>
      </w:r>
      <w:r>
        <w:tab/>
      </w:r>
      <w:r>
        <w:fldChar w:fldCharType="begin"/>
      </w:r>
      <w:r>
        <w:instrText>PAGEREF __RefHeading___3 \h</w:instrText>
      </w:r>
      <w:r>
        <w:fldChar w:fldCharType="separate"/>
      </w:r>
      <w:r>
        <w:t>4</w:t>
      </w:r>
      <w:r>
        <w:fldChar w:fldCharType="end"/>
      </w:r>
      <w:r>
        <w:fldChar w:fldCharType="end"/>
      </w:r>
    </w:p>
    <w:p w14:paraId="5E000000">
      <w:pPr>
        <w:pStyle w:val="Style_2"/>
        <w:tabs>
          <w:tab w:leader="none" w:pos="9639" w:val="clear"/>
          <w:tab w:leader="dot" w:pos="9638" w:val="right"/>
        </w:tabs>
        <w:ind/>
      </w:pPr>
      <w:r>
        <w:fldChar w:fldCharType="begin"/>
      </w:r>
      <w:r>
        <w:instrText>HYPERLINK \l "__RefHeading___4"</w:instrText>
      </w:r>
      <w:r>
        <w:fldChar w:fldCharType="separate"/>
      </w:r>
      <w:r>
        <w:t>2. Структура и содержание профессионального модуля</w:t>
      </w:r>
      <w:r>
        <w:tab/>
      </w:r>
      <w:r>
        <w:fldChar w:fldCharType="begin"/>
      </w:r>
      <w:r>
        <w:instrText>PAGEREF __RefHeading___4 \h</w:instrText>
      </w:r>
      <w:r>
        <w:fldChar w:fldCharType="separate"/>
      </w:r>
      <w:r>
        <w:t>8</w:t>
      </w:r>
      <w:r>
        <w:fldChar w:fldCharType="end"/>
      </w:r>
      <w:r>
        <w:fldChar w:fldCharType="end"/>
      </w:r>
    </w:p>
    <w:p w14:paraId="5F000000">
      <w:pPr>
        <w:pStyle w:val="Style_4"/>
        <w:tabs>
          <w:tab w:leader="none" w:pos="9639" w:val="clear"/>
          <w:tab w:leader="dot" w:pos="9638" w:val="right"/>
        </w:tabs>
        <w:ind/>
      </w:pPr>
      <w:r>
        <w:fldChar w:fldCharType="begin"/>
      </w:r>
      <w:r>
        <w:instrText>HYPERLINK \l "__RefHeading___5"</w:instrText>
      </w:r>
      <w:r>
        <w:fldChar w:fldCharType="separate"/>
      </w:r>
      <w:r>
        <w:t>2.1. Трудоемкость освоения модуля</w:t>
      </w:r>
      <w:r>
        <w:tab/>
      </w:r>
      <w:r>
        <w:fldChar w:fldCharType="begin"/>
      </w:r>
      <w:r>
        <w:instrText>PAGEREF __RefHeading___5 \h</w:instrText>
      </w:r>
      <w:r>
        <w:fldChar w:fldCharType="separate"/>
      </w:r>
      <w:r>
        <w:t>8</w:t>
      </w:r>
      <w:r>
        <w:fldChar w:fldCharType="end"/>
      </w:r>
      <w:r>
        <w:fldChar w:fldCharType="end"/>
      </w:r>
    </w:p>
    <w:p w14:paraId="60000000">
      <w:pPr>
        <w:pStyle w:val="Style_4"/>
        <w:tabs>
          <w:tab w:leader="none" w:pos="9639" w:val="clear"/>
          <w:tab w:leader="dot" w:pos="9638" w:val="right"/>
        </w:tabs>
        <w:ind/>
      </w:pPr>
      <w:r>
        <w:fldChar w:fldCharType="begin"/>
      </w:r>
      <w:r>
        <w:instrText>HYPERLINK \l "__RefHeading___6"</w:instrText>
      </w:r>
      <w:r>
        <w:fldChar w:fldCharType="separate"/>
      </w:r>
      <w:r>
        <w:t>2.2. Структура профессионального модуля</w:t>
      </w:r>
      <w:r>
        <w:tab/>
      </w:r>
      <w:r>
        <w:fldChar w:fldCharType="begin"/>
      </w:r>
      <w:r>
        <w:instrText>PAGEREF __RefHeading___6 \h</w:instrText>
      </w:r>
      <w:r>
        <w:fldChar w:fldCharType="separate"/>
      </w:r>
      <w:r>
        <w:t>8</w:t>
      </w:r>
      <w:r>
        <w:fldChar w:fldCharType="end"/>
      </w:r>
      <w:r>
        <w:fldChar w:fldCharType="end"/>
      </w:r>
    </w:p>
    <w:p w14:paraId="61000000">
      <w:pPr>
        <w:pStyle w:val="Style_4"/>
        <w:tabs>
          <w:tab w:leader="none" w:pos="9639" w:val="clear"/>
          <w:tab w:leader="dot" w:pos="9638" w:val="right"/>
        </w:tabs>
        <w:ind/>
      </w:pPr>
      <w:r>
        <w:fldChar w:fldCharType="begin"/>
      </w:r>
      <w:r>
        <w:instrText>HYPERLINK \l "__RefHeading___7"</w:instrText>
      </w:r>
      <w:r>
        <w:fldChar w:fldCharType="separate"/>
      </w:r>
      <w:r>
        <w:t>2.3. Примерное содержание профессионального модуля</w:t>
      </w:r>
      <w:r>
        <w:tab/>
      </w:r>
      <w:r>
        <w:fldChar w:fldCharType="begin"/>
      </w:r>
      <w:r>
        <w:instrText>PAGEREF __RefHeading___7 \h</w:instrText>
      </w:r>
      <w:r>
        <w:fldChar w:fldCharType="separate"/>
      </w:r>
      <w:r>
        <w:t>9</w:t>
      </w:r>
      <w:r>
        <w:fldChar w:fldCharType="end"/>
      </w:r>
      <w:r>
        <w:fldChar w:fldCharType="end"/>
      </w:r>
    </w:p>
    <w:p w14:paraId="62000000">
      <w:pPr>
        <w:pStyle w:val="Style_4"/>
        <w:tabs>
          <w:tab w:leader="none" w:pos="9639" w:val="clear"/>
          <w:tab w:leader="dot" w:pos="9638" w:val="right"/>
        </w:tabs>
        <w:ind/>
      </w:pPr>
      <w:r>
        <w:fldChar w:fldCharType="begin"/>
      </w:r>
      <w:r>
        <w:instrText>HYPERLINK \l "__RefHeading___8"</w:instrText>
      </w:r>
      <w:r>
        <w:fldChar w:fldCharType="separate"/>
      </w:r>
      <w:r>
        <w:t>2.4. Курсовой работа (проект)</w:t>
      </w:r>
      <w:r>
        <w:tab/>
      </w:r>
      <w:r>
        <w:fldChar w:fldCharType="begin"/>
      </w:r>
      <w:r>
        <w:instrText>PAGEREF __RefHeading___8 \h</w:instrText>
      </w:r>
      <w:r>
        <w:fldChar w:fldCharType="separate"/>
      </w:r>
      <w:r>
        <w:t>23</w:t>
      </w:r>
      <w:r>
        <w:fldChar w:fldCharType="end"/>
      </w:r>
      <w:r>
        <w:fldChar w:fldCharType="end"/>
      </w:r>
    </w:p>
    <w:p w14:paraId="63000000">
      <w:pPr>
        <w:pStyle w:val="Style_2"/>
        <w:tabs>
          <w:tab w:leader="none" w:pos="9639" w:val="clear"/>
          <w:tab w:leader="dot" w:pos="9638" w:val="right"/>
        </w:tabs>
        <w:ind/>
      </w:pPr>
      <w:r>
        <w:fldChar w:fldCharType="begin"/>
      </w:r>
      <w:r>
        <w:instrText>HYPERLINK \l "__RefHeading___9"</w:instrText>
      </w:r>
      <w:r>
        <w:fldChar w:fldCharType="separate"/>
      </w:r>
      <w:r>
        <w:t>3. Условия реализации профессионального модуля</w:t>
      </w:r>
      <w:r>
        <w:tab/>
      </w:r>
      <w:r>
        <w:fldChar w:fldCharType="begin"/>
      </w:r>
      <w:r>
        <w:instrText>PAGEREF __RefHeading___9 \h</w:instrText>
      </w:r>
      <w:r>
        <w:fldChar w:fldCharType="separate"/>
      </w:r>
      <w:r>
        <w:t>25</w:t>
      </w:r>
      <w:r>
        <w:fldChar w:fldCharType="end"/>
      </w:r>
      <w:r>
        <w:fldChar w:fldCharType="end"/>
      </w:r>
    </w:p>
    <w:p w14:paraId="64000000">
      <w:pPr>
        <w:pStyle w:val="Style_4"/>
        <w:tabs>
          <w:tab w:leader="none" w:pos="9639" w:val="clear"/>
          <w:tab w:leader="dot" w:pos="9638" w:val="right"/>
        </w:tabs>
        <w:ind/>
      </w:pPr>
      <w:r>
        <w:fldChar w:fldCharType="begin"/>
      </w:r>
      <w:r>
        <w:instrText>HYPERLINK \l "__RefHeading___10"</w:instrText>
      </w:r>
      <w:r>
        <w:fldChar w:fldCharType="separate"/>
      </w:r>
      <w:r>
        <w:t>3.1. Материально-техническое обеспечение</w:t>
      </w:r>
      <w:r>
        <w:tab/>
      </w:r>
      <w:r>
        <w:fldChar w:fldCharType="begin"/>
      </w:r>
      <w:r>
        <w:instrText>PAGEREF __RefHeading___10 \h</w:instrText>
      </w:r>
      <w:r>
        <w:fldChar w:fldCharType="separate"/>
      </w:r>
      <w:r>
        <w:t>25</w:t>
      </w:r>
      <w:r>
        <w:fldChar w:fldCharType="end"/>
      </w:r>
      <w:r>
        <w:fldChar w:fldCharType="end"/>
      </w:r>
    </w:p>
    <w:p w14:paraId="65000000">
      <w:pPr>
        <w:pStyle w:val="Style_4"/>
        <w:tabs>
          <w:tab w:leader="none" w:pos="9639" w:val="clear"/>
          <w:tab w:leader="dot" w:pos="9638" w:val="right"/>
        </w:tabs>
        <w:ind/>
      </w:pPr>
      <w:r>
        <w:fldChar w:fldCharType="begin"/>
      </w:r>
      <w:r>
        <w:instrText>HYPERLINK \l "__RefHeading___11"</w:instrText>
      </w:r>
      <w:r>
        <w:fldChar w:fldCharType="separate"/>
      </w:r>
      <w:r>
        <w:t>3.2. Учебно-методическое обеспечение</w:t>
      </w:r>
      <w:r>
        <w:tab/>
      </w:r>
      <w:r>
        <w:fldChar w:fldCharType="begin"/>
      </w:r>
      <w:r>
        <w:instrText>PAGEREF __RefHeading___11 \h</w:instrText>
      </w:r>
      <w:r>
        <w:fldChar w:fldCharType="separate"/>
      </w:r>
      <w:r>
        <w:t>26</w:t>
      </w:r>
      <w:r>
        <w:fldChar w:fldCharType="end"/>
      </w:r>
      <w:r>
        <w:fldChar w:fldCharType="end"/>
      </w:r>
    </w:p>
    <w:p w14:paraId="66000000">
      <w:pPr>
        <w:pStyle w:val="Style_2"/>
        <w:tabs>
          <w:tab w:leader="none" w:pos="9639" w:val="clear"/>
          <w:tab w:leader="dot" w:pos="9638" w:val="right"/>
        </w:tabs>
        <w:ind/>
      </w:pPr>
      <w:r>
        <w:fldChar w:fldCharType="begin"/>
      </w:r>
      <w:r>
        <w:instrText>HYPERLINK \l "__RefHeading___12"</w:instrText>
      </w:r>
      <w:r>
        <w:fldChar w:fldCharType="separate"/>
      </w:r>
      <w:r>
        <w:t>4. Контроль и оценка результатов освоения профессионального модуля</w:t>
      </w:r>
      <w:r>
        <w:tab/>
      </w:r>
      <w:r>
        <w:fldChar w:fldCharType="begin"/>
      </w:r>
      <w:r>
        <w:instrText>PAGEREF __RefHeading___12 \h</w:instrText>
      </w:r>
      <w:r>
        <w:fldChar w:fldCharType="separate"/>
      </w:r>
      <w:r>
        <w:t>33</w:t>
      </w:r>
      <w:r>
        <w:fldChar w:fldCharType="end"/>
      </w:r>
      <w:r>
        <w:fldChar w:fldCharType="end"/>
      </w:r>
    </w:p>
    <w:p w14:paraId="67000000">
      <w:pPr>
        <w:pStyle w:val="Style_2"/>
        <w:tabs>
          <w:tab w:leader="none" w:pos="9639" w:val="clear"/>
          <w:tab w:leader="dot" w:pos="9638" w:val="right"/>
        </w:tabs>
        <w:ind/>
      </w:pPr>
      <w:r>
        <w:fldChar w:fldCharType="begin"/>
      </w:r>
      <w:r>
        <w:instrText>HYPERLINK \l "__RefHeading___13"</w:instrText>
      </w:r>
      <w:r>
        <w:fldChar w:fldCharType="separate"/>
      </w:r>
      <w:r>
        <w:t>1. Общая характеристика ПРИМЕРНОЙ РАБОЧЕЙ ПРОГРАММЫ ПРОФЕССИОНАЛЬНОГО МОДУЛЯ</w:t>
      </w:r>
      <w:r>
        <w:tab/>
      </w:r>
      <w:r>
        <w:fldChar w:fldCharType="begin"/>
      </w:r>
      <w:r>
        <w:instrText>PAGEREF __RefHeading___13 \h</w:instrText>
      </w:r>
      <w:r>
        <w:fldChar w:fldCharType="separate"/>
      </w:r>
      <w:r>
        <w:t>38</w:t>
      </w:r>
      <w:r>
        <w:fldChar w:fldCharType="end"/>
      </w:r>
      <w:r>
        <w:fldChar w:fldCharType="end"/>
      </w:r>
    </w:p>
    <w:p w14:paraId="68000000">
      <w:pPr>
        <w:pStyle w:val="Style_4"/>
        <w:tabs>
          <w:tab w:leader="none" w:pos="9639" w:val="clear"/>
          <w:tab w:leader="dot" w:pos="9638" w:val="right"/>
        </w:tabs>
        <w:ind/>
      </w:pPr>
      <w:r>
        <w:fldChar w:fldCharType="begin"/>
      </w:r>
      <w:r>
        <w:instrText>HYPERLINK \l "__RefHeading___14"</w:instrText>
      </w:r>
      <w:r>
        <w:fldChar w:fldCharType="separate"/>
      </w:r>
      <w:r>
        <w:t>1.1. Цель и место профессионального модуля в структуре образовательной программы</w:t>
      </w:r>
      <w:r>
        <w:tab/>
      </w:r>
      <w:r>
        <w:fldChar w:fldCharType="begin"/>
      </w:r>
      <w:r>
        <w:instrText>PAGEREF __RefHeading___14 \h</w:instrText>
      </w:r>
      <w:r>
        <w:fldChar w:fldCharType="separate"/>
      </w:r>
      <w:r>
        <w:t>38</w:t>
      </w:r>
      <w:r>
        <w:fldChar w:fldCharType="end"/>
      </w:r>
      <w:r>
        <w:fldChar w:fldCharType="end"/>
      </w:r>
    </w:p>
    <w:p w14:paraId="69000000">
      <w:pPr>
        <w:pStyle w:val="Style_4"/>
        <w:tabs>
          <w:tab w:leader="none" w:pos="9639" w:val="clear"/>
          <w:tab w:leader="dot" w:pos="9638" w:val="right"/>
        </w:tabs>
        <w:ind/>
      </w:pPr>
      <w:r>
        <w:fldChar w:fldCharType="begin"/>
      </w:r>
      <w:r>
        <w:instrText>HYPERLINK \l "__RefHeading___15"</w:instrText>
      </w:r>
      <w:r>
        <w:fldChar w:fldCharType="separate"/>
      </w:r>
      <w:r>
        <w:t>1.2. Планируемые результаты освоения профессионального модуля</w:t>
      </w:r>
      <w:r>
        <w:tab/>
      </w:r>
      <w:r>
        <w:fldChar w:fldCharType="begin"/>
      </w:r>
      <w:r>
        <w:instrText>PAGEREF __RefHeading___15 \h</w:instrText>
      </w:r>
      <w:r>
        <w:fldChar w:fldCharType="separate"/>
      </w:r>
      <w:r>
        <w:t>38</w:t>
      </w:r>
      <w:r>
        <w:fldChar w:fldCharType="end"/>
      </w:r>
      <w:r>
        <w:fldChar w:fldCharType="end"/>
      </w:r>
    </w:p>
    <w:p w14:paraId="6A000000">
      <w:pPr>
        <w:pStyle w:val="Style_2"/>
        <w:tabs>
          <w:tab w:leader="none" w:pos="9639" w:val="clear"/>
          <w:tab w:leader="dot" w:pos="9638" w:val="right"/>
        </w:tabs>
        <w:ind/>
      </w:pPr>
      <w:r>
        <w:fldChar w:fldCharType="begin"/>
      </w:r>
      <w:r>
        <w:instrText>HYPERLINK \l "__RefHeading___16"</w:instrText>
      </w:r>
      <w:r>
        <w:fldChar w:fldCharType="separate"/>
      </w:r>
      <w:r>
        <w:t>2. Структура и содержание профессионального модуля</w:t>
      </w:r>
      <w:r>
        <w:tab/>
      </w:r>
      <w:r>
        <w:fldChar w:fldCharType="begin"/>
      </w:r>
      <w:r>
        <w:instrText>PAGEREF __RefHeading___16 \h</w:instrText>
      </w:r>
      <w:r>
        <w:fldChar w:fldCharType="separate"/>
      </w:r>
      <w:r>
        <w:t>45</w:t>
      </w:r>
      <w:r>
        <w:fldChar w:fldCharType="end"/>
      </w:r>
      <w:r>
        <w:fldChar w:fldCharType="end"/>
      </w:r>
    </w:p>
    <w:p w14:paraId="6B000000">
      <w:pPr>
        <w:pStyle w:val="Style_4"/>
        <w:tabs>
          <w:tab w:leader="none" w:pos="9639" w:val="clear"/>
          <w:tab w:leader="dot" w:pos="9638" w:val="right"/>
        </w:tabs>
        <w:ind/>
      </w:pPr>
      <w:r>
        <w:fldChar w:fldCharType="begin"/>
      </w:r>
      <w:r>
        <w:instrText>HYPERLINK \l "__RefHeading___17"</w:instrText>
      </w:r>
      <w:r>
        <w:fldChar w:fldCharType="separate"/>
      </w:r>
      <w:r>
        <w:t>2.1. Трудоемкость освоения модуля</w:t>
      </w:r>
      <w:r>
        <w:tab/>
      </w:r>
      <w:r>
        <w:fldChar w:fldCharType="begin"/>
      </w:r>
      <w:r>
        <w:instrText>PAGEREF __RefHeading___17 \h</w:instrText>
      </w:r>
      <w:r>
        <w:fldChar w:fldCharType="separate"/>
      </w:r>
      <w:r>
        <w:t>45</w:t>
      </w:r>
      <w:r>
        <w:fldChar w:fldCharType="end"/>
      </w:r>
      <w:r>
        <w:fldChar w:fldCharType="end"/>
      </w:r>
    </w:p>
    <w:p w14:paraId="6C000000">
      <w:pPr>
        <w:pStyle w:val="Style_4"/>
        <w:tabs>
          <w:tab w:leader="none" w:pos="9639" w:val="clear"/>
          <w:tab w:leader="dot" w:pos="9638" w:val="right"/>
        </w:tabs>
        <w:ind/>
      </w:pPr>
      <w:r>
        <w:fldChar w:fldCharType="begin"/>
      </w:r>
      <w:r>
        <w:instrText>HYPERLINK \l "__RefHeading___18"</w:instrText>
      </w:r>
      <w:r>
        <w:fldChar w:fldCharType="separate"/>
      </w:r>
      <w:r>
        <w:t>2.2. Структура профессионального модуля</w:t>
      </w:r>
      <w:r>
        <w:tab/>
      </w:r>
      <w:r>
        <w:fldChar w:fldCharType="begin"/>
      </w:r>
      <w:r>
        <w:instrText>PAGEREF __RefHeading___18 \h</w:instrText>
      </w:r>
      <w:r>
        <w:fldChar w:fldCharType="separate"/>
      </w:r>
      <w:r>
        <w:t>45</w:t>
      </w:r>
      <w:r>
        <w:fldChar w:fldCharType="end"/>
      </w:r>
      <w:r>
        <w:fldChar w:fldCharType="end"/>
      </w:r>
    </w:p>
    <w:p w14:paraId="6D000000">
      <w:pPr>
        <w:pStyle w:val="Style_4"/>
        <w:tabs>
          <w:tab w:leader="none" w:pos="9639" w:val="clear"/>
          <w:tab w:leader="dot" w:pos="9638" w:val="right"/>
        </w:tabs>
        <w:ind/>
      </w:pPr>
      <w:r>
        <w:fldChar w:fldCharType="begin"/>
      </w:r>
      <w:r>
        <w:instrText>HYPERLINK \l "__RefHeading___19"</w:instrText>
      </w:r>
      <w:r>
        <w:fldChar w:fldCharType="separate"/>
      </w:r>
      <w:r>
        <w:t>2.3. Примерное содержание профессионального модуля</w:t>
      </w:r>
      <w:r>
        <w:tab/>
      </w:r>
      <w:r>
        <w:fldChar w:fldCharType="begin"/>
      </w:r>
      <w:r>
        <w:instrText>PAGEREF __RefHeading___19 \h</w:instrText>
      </w:r>
      <w:r>
        <w:fldChar w:fldCharType="separate"/>
      </w:r>
      <w:r>
        <w:t>46</w:t>
      </w:r>
      <w:r>
        <w:fldChar w:fldCharType="end"/>
      </w:r>
      <w:r>
        <w:fldChar w:fldCharType="end"/>
      </w:r>
    </w:p>
    <w:p w14:paraId="6E000000">
      <w:pPr>
        <w:pStyle w:val="Style_2"/>
        <w:tabs>
          <w:tab w:leader="none" w:pos="9639" w:val="clear"/>
          <w:tab w:leader="dot" w:pos="9638" w:val="right"/>
        </w:tabs>
        <w:ind/>
      </w:pPr>
      <w:r>
        <w:fldChar w:fldCharType="begin"/>
      </w:r>
      <w:r>
        <w:instrText>HYPERLINK \l "__RefHeading___20"</w:instrText>
      </w:r>
      <w:r>
        <w:fldChar w:fldCharType="separate"/>
      </w:r>
      <w:r>
        <w:t>3. Условия реализации профессионального модуля</w:t>
      </w:r>
      <w:r>
        <w:tab/>
      </w:r>
      <w:r>
        <w:fldChar w:fldCharType="begin"/>
      </w:r>
      <w:r>
        <w:instrText>PAGEREF __RefHeading___20 \h</w:instrText>
      </w:r>
      <w:r>
        <w:fldChar w:fldCharType="separate"/>
      </w:r>
      <w:r>
        <w:t>55</w:t>
      </w:r>
      <w:r>
        <w:fldChar w:fldCharType="end"/>
      </w:r>
      <w:r>
        <w:fldChar w:fldCharType="end"/>
      </w:r>
    </w:p>
    <w:p w14:paraId="6F000000">
      <w:pPr>
        <w:pStyle w:val="Style_4"/>
        <w:tabs>
          <w:tab w:leader="none" w:pos="9639" w:val="clear"/>
          <w:tab w:leader="dot" w:pos="9638" w:val="right"/>
        </w:tabs>
        <w:ind/>
      </w:pPr>
      <w:r>
        <w:fldChar w:fldCharType="begin"/>
      </w:r>
      <w:r>
        <w:instrText>HYPERLINK \l "__RefHeading___21"</w:instrText>
      </w:r>
      <w:r>
        <w:fldChar w:fldCharType="separate"/>
      </w:r>
      <w:r>
        <w:t>3.1. Материально-техническое обеспечение</w:t>
      </w:r>
      <w:r>
        <w:tab/>
      </w:r>
      <w:r>
        <w:fldChar w:fldCharType="begin"/>
      </w:r>
      <w:r>
        <w:instrText>PAGEREF __RefHeading___21 \h</w:instrText>
      </w:r>
      <w:r>
        <w:fldChar w:fldCharType="separate"/>
      </w:r>
      <w:r>
        <w:t>55</w:t>
      </w:r>
      <w:r>
        <w:fldChar w:fldCharType="end"/>
      </w:r>
      <w:r>
        <w:fldChar w:fldCharType="end"/>
      </w:r>
    </w:p>
    <w:p w14:paraId="70000000">
      <w:pPr>
        <w:pStyle w:val="Style_4"/>
        <w:tabs>
          <w:tab w:leader="none" w:pos="9639" w:val="clear"/>
          <w:tab w:leader="dot" w:pos="9638" w:val="right"/>
        </w:tabs>
        <w:ind/>
      </w:pPr>
      <w:r>
        <w:fldChar w:fldCharType="begin"/>
      </w:r>
      <w:r>
        <w:instrText>HYPERLINK \l "__RefHeading___22"</w:instrText>
      </w:r>
      <w:r>
        <w:fldChar w:fldCharType="separate"/>
      </w:r>
      <w:r>
        <w:t>3.2. Учебно-методическое обеспечение</w:t>
      </w:r>
      <w:r>
        <w:tab/>
      </w:r>
      <w:r>
        <w:fldChar w:fldCharType="begin"/>
      </w:r>
      <w:r>
        <w:instrText>PAGEREF __RefHeading___22 \h</w:instrText>
      </w:r>
      <w:r>
        <w:fldChar w:fldCharType="separate"/>
      </w:r>
      <w:r>
        <w:t>55</w:t>
      </w:r>
      <w:r>
        <w:fldChar w:fldCharType="end"/>
      </w:r>
      <w:r>
        <w:fldChar w:fldCharType="end"/>
      </w:r>
    </w:p>
    <w:p w14:paraId="71000000">
      <w:pPr>
        <w:pStyle w:val="Style_2"/>
        <w:tabs>
          <w:tab w:leader="none" w:pos="9639" w:val="clear"/>
          <w:tab w:leader="dot" w:pos="9638" w:val="right"/>
        </w:tabs>
        <w:ind/>
      </w:pPr>
      <w:r>
        <w:fldChar w:fldCharType="begin"/>
      </w:r>
      <w:r>
        <w:instrText>HYPERLINK \l "__RefHeading___23"</w:instrText>
      </w:r>
      <w:r>
        <w:fldChar w:fldCharType="separate"/>
      </w:r>
      <w:r>
        <w:t>4. Контроль и оценка результатов освоения профессионального модуля</w:t>
      </w:r>
      <w:r>
        <w:tab/>
      </w:r>
      <w:r>
        <w:fldChar w:fldCharType="begin"/>
      </w:r>
      <w:r>
        <w:instrText>PAGEREF __RefHeading___23 \h</w:instrText>
      </w:r>
      <w:r>
        <w:fldChar w:fldCharType="separate"/>
      </w:r>
      <w:r>
        <w:t>59</w:t>
      </w:r>
      <w:r>
        <w:fldChar w:fldCharType="end"/>
      </w:r>
      <w:r>
        <w:fldChar w:fldCharType="end"/>
      </w:r>
    </w:p>
    <w:p>
      <w:r>
        <w:fldChar w:fldCharType="end"/>
      </w:r>
    </w:p>
    <w:p w14:paraId="73000000">
      <w:pPr>
        <w:pStyle w:val="Style_3"/>
      </w:pPr>
    </w:p>
    <w:p w14:paraId="74000000">
      <w:pPr>
        <w:sectPr>
          <w:headerReference r:id="rId1" w:type="default"/>
          <w:headerReference r:id="rId5" w:type="even"/>
          <w:pgSz w:h="16838" w:orient="portrait" w:w="11906"/>
          <w:pgMar w:bottom="1134" w:footer="709" w:gutter="0" w:header="709" w:left="1701" w:right="567" w:top="1134"/>
        </w:sectPr>
      </w:pPr>
    </w:p>
    <w:p w14:paraId="75000000">
      <w:bookmarkStart w:id="1" w:name="__RefHeading___1"/>
      <w:bookmarkEnd w:id="1"/>
      <w:bookmarkStart w:id="2" w:name="__RefHeading___24"/>
      <w:bookmarkEnd w:id="2"/>
      <w:pPr>
        <w:pStyle w:val="Style_5"/>
      </w:pPr>
      <w:r>
        <w:t xml:space="preserve">1. Общая </w:t>
      </w:r>
      <w:r>
        <w:t>характеристика</w:t>
      </w:r>
      <w:r>
        <w:t xml:space="preserve"> ПРИМЕРНОЙ</w:t>
      </w:r>
      <w:r>
        <w:rPr>
          <w:rFonts w:asciiTheme="minorAscii" w:hAnsiTheme="minorHAnsi"/>
        </w:rPr>
        <w:t xml:space="preserve"> </w:t>
      </w:r>
      <w:r>
        <w:t>РАБОЧЕЙ ПРОГРАММЫ</w:t>
      </w:r>
      <w:r>
        <w:rPr>
          <w:rFonts w:asciiTheme="minorAscii" w:hAnsiTheme="minorHAnsi"/>
        </w:rPr>
        <w:t xml:space="preserve"> </w:t>
      </w:r>
      <w:r>
        <w:t>ПРОФЕССИОНАЛЬНОГО МОДУЛЯ</w:t>
      </w:r>
    </w:p>
    <w:p w14:paraId="76000000">
      <w:pPr>
        <w:pStyle w:val="Style_6"/>
        <w:ind/>
        <w:jc w:val="center"/>
        <w:rPr>
          <w:b w:val="1"/>
        </w:rPr>
      </w:pPr>
      <w:r>
        <w:rPr>
          <w:b w:val="1"/>
        </w:rPr>
        <w:t>«</w:t>
      </w:r>
      <w:r>
        <w:rPr>
          <w:b w:val="1"/>
        </w:rPr>
        <w:t>ПМ.01 Ведение бухгалтерского и налогового учета</w:t>
      </w:r>
      <w:r>
        <w:rPr>
          <w:b w:val="1"/>
        </w:rPr>
        <w:t>»</w:t>
      </w:r>
    </w:p>
    <w:p w14:paraId="77000000">
      <w:pPr>
        <w:pStyle w:val="Style_5"/>
        <w:rPr>
          <w:rFonts w:asciiTheme="minorAscii" w:hAnsiTheme="minorHAnsi"/>
        </w:rPr>
      </w:pPr>
    </w:p>
    <w:p w14:paraId="78000000">
      <w:bookmarkStart w:id="3" w:name="__RefHeading___2"/>
      <w:bookmarkEnd w:id="3"/>
      <w:bookmarkStart w:id="4" w:name="__RefHeading___25"/>
      <w:bookmarkEnd w:id="4"/>
      <w:pPr>
        <w:pStyle w:val="Style_7"/>
        <w:rPr>
          <w:rFonts w:ascii="Times New Roman" w:hAnsi="Times New Roman"/>
        </w:rPr>
      </w:pPr>
      <w:r>
        <w:rPr>
          <w:rFonts w:ascii="Times New Roman" w:hAnsi="Times New Roman"/>
        </w:rPr>
        <w:t xml:space="preserve">1.1. </w:t>
      </w:r>
      <w:r>
        <w:rPr>
          <w:rFonts w:ascii="Times New Roman" w:hAnsi="Times New Roman"/>
        </w:rPr>
        <w:t>Цель и место профессионального модуля в структуре образовательной программы</w:t>
      </w:r>
    </w:p>
    <w:p w14:paraId="79000000">
      <w:pPr>
        <w:spacing w:line="276" w:lineRule="auto"/>
        <w:ind w:firstLine="709" w:left="0"/>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sz w:val="24"/>
        </w:rPr>
        <w:t>«</w:t>
      </w:r>
      <w:r>
        <w:rPr>
          <w:rFonts w:ascii="Times New Roman" w:hAnsi="Times New Roman"/>
          <w:sz w:val="24"/>
        </w:rPr>
        <w:t>Ведение бухгалтерского и налогового учета</w:t>
      </w:r>
      <w:r>
        <w:rPr>
          <w:rFonts w:ascii="Times New Roman" w:hAnsi="Times New Roman"/>
          <w:sz w:val="24"/>
        </w:rPr>
        <w:t>»</w:t>
      </w:r>
      <w:r>
        <w:rPr>
          <w:rFonts w:ascii="Times New Roman" w:hAnsi="Times New Roman"/>
          <w:sz w:val="24"/>
        </w:rPr>
        <w:t>.</w:t>
      </w:r>
      <w:r>
        <w:rPr>
          <w:rFonts w:ascii="Times New Roman" w:hAnsi="Times New Roman"/>
          <w:sz w:val="24"/>
        </w:rPr>
        <w:t xml:space="preserve"> </w:t>
      </w:r>
    </w:p>
    <w:p w14:paraId="7A000000">
      <w:pPr>
        <w:spacing w:line="276" w:lineRule="auto"/>
        <w:ind w:firstLine="709" w:left="0"/>
        <w:jc w:val="both"/>
        <w:rPr>
          <w:rFonts w:ascii="Times New Roman" w:hAnsi="Times New Roman"/>
          <w:sz w:val="24"/>
        </w:rPr>
      </w:pPr>
      <w:r>
        <w:rPr>
          <w:rFonts w:ascii="Times New Roman" w:hAnsi="Times New Roman"/>
          <w:sz w:val="24"/>
        </w:rPr>
        <w:t xml:space="preserve">Профессиональный модуль включен в обязательную </w:t>
      </w:r>
      <w:r>
        <w:rPr>
          <w:rFonts w:ascii="Times New Roman" w:hAnsi="Times New Roman"/>
          <w:sz w:val="24"/>
        </w:rPr>
        <w:t>часть образовательной программы.</w:t>
      </w:r>
    </w:p>
    <w:p w14:paraId="7B000000">
      <w:pPr>
        <w:spacing w:line="276" w:lineRule="auto"/>
        <w:ind w:firstLine="709" w:left="0"/>
        <w:jc w:val="both"/>
        <w:rPr>
          <w:rFonts w:ascii="Times New Roman" w:hAnsi="Times New Roman"/>
          <w:sz w:val="24"/>
        </w:rPr>
      </w:pPr>
    </w:p>
    <w:p w14:paraId="7C000000">
      <w:bookmarkStart w:id="5" w:name="__RefHeading___3"/>
      <w:bookmarkEnd w:id="5"/>
      <w:bookmarkStart w:id="6" w:name="__RefHeading___26"/>
      <w:bookmarkEnd w:id="6"/>
      <w:pPr>
        <w:pStyle w:val="Style_7"/>
        <w:rPr>
          <w:rFonts w:ascii="Times New Roman" w:hAnsi="Times New Roman"/>
        </w:rPr>
      </w:pPr>
      <w:r>
        <w:rPr>
          <w:rFonts w:ascii="Times New Roman" w:hAnsi="Times New Roman"/>
        </w:rPr>
        <w:t xml:space="preserve">1.2. </w:t>
      </w:r>
      <w:r>
        <w:rPr>
          <w:rFonts w:ascii="Times New Roman" w:hAnsi="Times New Roman"/>
        </w:rPr>
        <w:t>П</w:t>
      </w:r>
      <w:r>
        <w:rPr>
          <w:rFonts w:ascii="Times New Roman" w:hAnsi="Times New Roman"/>
        </w:rPr>
        <w:t>ланируемы</w:t>
      </w:r>
      <w:r>
        <w:rPr>
          <w:rFonts w:ascii="Times New Roman" w:hAnsi="Times New Roman"/>
        </w:rPr>
        <w:t>е</w:t>
      </w:r>
      <w:r>
        <w:rPr>
          <w:rFonts w:ascii="Times New Roman" w:hAnsi="Times New Roman"/>
        </w:rPr>
        <w:t xml:space="preserve"> результат</w:t>
      </w:r>
      <w:r>
        <w:rPr>
          <w:rFonts w:ascii="Times New Roman" w:hAnsi="Times New Roman"/>
        </w:rPr>
        <w:t>ы</w:t>
      </w:r>
      <w:r>
        <w:rPr>
          <w:rFonts w:ascii="Times New Roman" w:hAnsi="Times New Roman"/>
        </w:rPr>
        <w:t xml:space="preserve"> освоения </w:t>
      </w:r>
      <w:r>
        <w:rPr>
          <w:rFonts w:ascii="Times New Roman" w:hAnsi="Times New Roman"/>
        </w:rPr>
        <w:t xml:space="preserve">профессионального </w:t>
      </w:r>
      <w:r>
        <w:rPr>
          <w:rFonts w:ascii="Times New Roman" w:hAnsi="Times New Roman"/>
        </w:rPr>
        <w:t>модуля</w:t>
      </w:r>
    </w:p>
    <w:p w14:paraId="7D000000">
      <w:pPr>
        <w:ind w:firstLine="709" w:left="0"/>
        <w:jc w:val="both"/>
        <w:rPr>
          <w:rFonts w:ascii="Times New Roman" w:hAnsi="Times New Roman"/>
          <w:sz w:val="24"/>
        </w:rPr>
      </w:pPr>
      <w:r>
        <w:rPr>
          <w:rFonts w:ascii="Times New Roman" w:hAnsi="Times New Roman"/>
          <w:sz w:val="24"/>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hAnsi="Times New Roman"/>
          <w:sz w:val="24"/>
        </w:rPr>
        <w:t xml:space="preserve">матрице компетенций выпускника (п. </w:t>
      </w:r>
      <w:r>
        <w:rPr>
          <w:rFonts w:ascii="Times New Roman" w:hAnsi="Times New Roman"/>
          <w:sz w:val="24"/>
        </w:rPr>
        <w:t>4.3</w:t>
      </w:r>
      <w:r>
        <w:rPr>
          <w:rFonts w:ascii="Times New Roman" w:hAnsi="Times New Roman"/>
          <w:sz w:val="24"/>
        </w:rPr>
        <w:t xml:space="preserve"> </w:t>
      </w:r>
      <w:r>
        <w:rPr>
          <w:rFonts w:ascii="Times New Roman" w:hAnsi="Times New Roman"/>
          <w:sz w:val="24"/>
        </w:rPr>
        <w:t>ПОП</w:t>
      </w:r>
      <w:r>
        <w:rPr>
          <w:rFonts w:ascii="Times New Roman" w:hAnsi="Times New Roman"/>
          <w:sz w:val="24"/>
        </w:rPr>
        <w:t>-П</w:t>
      </w:r>
      <w:r>
        <w:rPr>
          <w:rFonts w:ascii="Times New Roman" w:hAnsi="Times New Roman"/>
          <w:sz w:val="24"/>
        </w:rPr>
        <w:t>)</w:t>
      </w:r>
      <w:r>
        <w:rPr>
          <w:rFonts w:ascii="Times New Roman" w:hAnsi="Times New Roman"/>
          <w:sz w:val="24"/>
        </w:rPr>
        <w:t>.</w:t>
      </w:r>
    </w:p>
    <w:p w14:paraId="7E000000">
      <w:pPr>
        <w:spacing w:after="120"/>
        <w:ind w:firstLine="709" w:left="0"/>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
      </w:r>
      <w:r>
        <w:rPr>
          <w:rFonts w:ascii="Times New Roman" w:hAnsi="Times New Roman"/>
          <w:sz w:val="24"/>
        </w:rPr>
        <w:t>:</w:t>
      </w:r>
    </w:p>
    <w:tbl>
      <w:tblPr>
        <w:tblStyle w:val="Style_8"/>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129"/>
        <w:gridCol w:w="2833"/>
        <w:gridCol w:w="2833"/>
        <w:gridCol w:w="2833"/>
      </w:tblGrid>
      <w:tr>
        <w:tc>
          <w:tcPr>
            <w:tcW w:type="dxa" w:w="1129"/>
            <w:tcBorders>
              <w:top w:color="000000" w:sz="4" w:val="single"/>
              <w:left w:color="000000" w:sz="4" w:val="single"/>
              <w:bottom w:color="000000" w:sz="4" w:val="single"/>
              <w:right w:color="000000" w:sz="4" w:val="single"/>
            </w:tcBorders>
          </w:tcPr>
          <w:p w14:paraId="7F000000">
            <w:pPr>
              <w:rPr>
                <w:rStyle w:val="Style_9_ch"/>
                <w:b w:val="1"/>
                <w:i w:val="0"/>
                <w:sz w:val="24"/>
              </w:rPr>
            </w:pPr>
            <w:r>
              <w:rPr>
                <w:rStyle w:val="Style_9_ch"/>
                <w:b w:val="1"/>
                <w:i w:val="0"/>
                <w:sz w:val="24"/>
              </w:rPr>
              <w:t xml:space="preserve">Код </w:t>
            </w:r>
            <w:r>
              <w:rPr>
                <w:rStyle w:val="Style_9_ch"/>
                <w:b w:val="1"/>
                <w:sz w:val="24"/>
              </w:rPr>
              <w:t>ОК, ПК</w:t>
            </w:r>
          </w:p>
        </w:tc>
        <w:tc>
          <w:tcPr>
            <w:tcW w:type="dxa" w:w="2833"/>
            <w:tcBorders>
              <w:top w:color="000000" w:sz="4" w:val="single"/>
              <w:left w:color="000000" w:sz="4" w:val="single"/>
              <w:bottom w:color="000000" w:sz="4" w:val="single"/>
              <w:right w:color="000000" w:sz="4" w:val="single"/>
            </w:tcBorders>
          </w:tcPr>
          <w:p w14:paraId="80000000">
            <w:pPr>
              <w:ind/>
              <w:jc w:val="center"/>
              <w:rPr>
                <w:rFonts w:ascii="Times New Roman" w:hAnsi="Times New Roman"/>
                <w:b w:val="1"/>
                <w:sz w:val="24"/>
              </w:rPr>
            </w:pPr>
            <w:r>
              <w:rPr>
                <w:rFonts w:ascii="Times New Roman" w:hAnsi="Times New Roman"/>
                <w:b w:val="1"/>
                <w:sz w:val="24"/>
              </w:rPr>
              <w:t>Уметь</w:t>
            </w:r>
          </w:p>
        </w:tc>
        <w:tc>
          <w:tcPr>
            <w:tcW w:type="dxa" w:w="2833"/>
            <w:tcBorders>
              <w:top w:color="000000" w:sz="4" w:val="single"/>
              <w:left w:color="000000" w:sz="4" w:val="single"/>
              <w:bottom w:color="000000" w:sz="4" w:val="single"/>
              <w:right w:color="000000" w:sz="4" w:val="single"/>
            </w:tcBorders>
            <w:shd w:fill="auto" w:val="clear"/>
          </w:tcPr>
          <w:p w14:paraId="81000000">
            <w:pPr>
              <w:ind/>
              <w:jc w:val="center"/>
              <w:rPr>
                <w:rFonts w:ascii="Times New Roman" w:hAnsi="Times New Roman"/>
                <w:b w:val="1"/>
                <w:i w:val="1"/>
                <w:sz w:val="24"/>
              </w:rPr>
            </w:pPr>
            <w:r>
              <w:rPr>
                <w:rFonts w:ascii="Times New Roman" w:hAnsi="Times New Roman"/>
                <w:b w:val="1"/>
                <w:sz w:val="24"/>
              </w:rPr>
              <w:t>Знать</w:t>
            </w:r>
          </w:p>
        </w:tc>
        <w:tc>
          <w:tcPr>
            <w:tcW w:type="dxa" w:w="2833"/>
            <w:tcBorders>
              <w:top w:color="000000" w:sz="4" w:val="single"/>
              <w:left w:color="000000" w:sz="4" w:val="single"/>
              <w:bottom w:color="000000" w:sz="4" w:val="single"/>
              <w:right w:color="000000" w:sz="4" w:val="single"/>
            </w:tcBorders>
          </w:tcPr>
          <w:p w14:paraId="82000000">
            <w:pPr>
              <w:ind/>
              <w:jc w:val="center"/>
              <w:rPr>
                <w:rFonts w:ascii="Times New Roman" w:hAnsi="Times New Roman"/>
                <w:b w:val="1"/>
                <w:i w:val="1"/>
                <w:sz w:val="24"/>
              </w:rPr>
            </w:pPr>
            <w:r>
              <w:rPr>
                <w:rFonts w:ascii="Times New Roman" w:hAnsi="Times New Roman"/>
                <w:b w:val="1"/>
                <w:sz w:val="24"/>
              </w:rPr>
              <w:t>Владеть навыками</w:t>
            </w:r>
          </w:p>
        </w:tc>
      </w:tr>
      <w:tr>
        <w:tc>
          <w:tcPr>
            <w:tcW w:type="dxa" w:w="1129"/>
            <w:tcBorders>
              <w:top w:color="000000" w:sz="4" w:val="single"/>
              <w:left w:color="000000" w:sz="4" w:val="single"/>
              <w:bottom w:color="000000" w:sz="4" w:val="single"/>
              <w:right w:color="000000" w:sz="4" w:val="single"/>
            </w:tcBorders>
          </w:tcPr>
          <w:p w14:paraId="83000000">
            <w:pPr>
              <w:rPr>
                <w:rFonts w:ascii="Times New Roman" w:hAnsi="Times New Roman"/>
                <w:sz w:val="24"/>
              </w:rPr>
            </w:pPr>
            <w:r>
              <w:rPr>
                <w:rFonts w:ascii="Times New Roman" w:hAnsi="Times New Roman"/>
                <w:sz w:val="24"/>
              </w:rPr>
              <w:t xml:space="preserve">ОК </w:t>
            </w:r>
            <w:r>
              <w:rPr>
                <w:rFonts w:ascii="Times New Roman" w:hAnsi="Times New Roman"/>
                <w:sz w:val="24"/>
              </w:rPr>
              <w:t>0</w:t>
            </w:r>
            <w:r>
              <w:rPr>
                <w:rFonts w:ascii="Times New Roman" w:hAnsi="Times New Roman"/>
                <w:sz w:val="24"/>
              </w:rPr>
              <w:t>9</w:t>
            </w:r>
          </w:p>
        </w:tc>
        <w:tc>
          <w:tcPr>
            <w:tcW w:type="dxa" w:w="2833"/>
            <w:tcBorders>
              <w:top w:color="000000" w:sz="4" w:val="single"/>
              <w:left w:color="000000" w:sz="4" w:val="single"/>
              <w:bottom w:color="000000" w:sz="4" w:val="single"/>
              <w:right w:color="000000" w:sz="4" w:val="single"/>
            </w:tcBorders>
          </w:tcPr>
          <w:p w14:paraId="84000000">
            <w:pPr>
              <w:rPr>
                <w:rFonts w:ascii="Times New Roman" w:hAnsi="Times New Roman"/>
                <w:sz w:val="24"/>
              </w:rPr>
            </w:pPr>
            <w:r>
              <w:rPr>
                <w:rFonts w:ascii="Times New Roman" w:hAnsi="Times New Roman"/>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85000000">
            <w:pPr>
              <w:rPr>
                <w:rFonts w:ascii="Times New Roman" w:hAnsi="Times New Roman"/>
                <w:sz w:val="24"/>
              </w:rPr>
            </w:pPr>
            <w:r>
              <w:rPr>
                <w:rFonts w:ascii="Times New Roman" w:hAnsi="Times New Roman"/>
                <w:sz w:val="24"/>
              </w:rPr>
              <w:t>участвовать в диалогах на знакомые общие и профессиональные темы</w:t>
            </w:r>
          </w:p>
          <w:p w14:paraId="86000000">
            <w:pPr>
              <w:rPr>
                <w:rFonts w:ascii="Times New Roman" w:hAnsi="Times New Roman"/>
                <w:sz w:val="24"/>
              </w:rPr>
            </w:pPr>
            <w:r>
              <w:rPr>
                <w:rFonts w:ascii="Times New Roman" w:hAnsi="Times New Roman"/>
                <w:sz w:val="24"/>
              </w:rPr>
              <w:t>строить простые высказывания о себе и о своей профессиональной деятельности</w:t>
            </w:r>
          </w:p>
          <w:p w14:paraId="87000000">
            <w:pPr>
              <w:rPr>
                <w:rFonts w:ascii="Times New Roman" w:hAnsi="Times New Roman"/>
                <w:sz w:val="24"/>
              </w:rPr>
            </w:pPr>
            <w:r>
              <w:rPr>
                <w:rFonts w:ascii="Times New Roman" w:hAnsi="Times New Roman"/>
                <w:sz w:val="24"/>
              </w:rPr>
              <w:t>кратко обосновывать и объяснять свои действия (текущие и планируемые)</w:t>
            </w:r>
          </w:p>
          <w:p w14:paraId="88000000">
            <w:pPr>
              <w:rPr>
                <w:rFonts w:ascii="Times New Roman" w:hAnsi="Times New Roman"/>
                <w:sz w:val="24"/>
              </w:rPr>
            </w:pPr>
            <w:r>
              <w:rPr>
                <w:rFonts w:ascii="Times New Roman" w:hAnsi="Times New Roman"/>
                <w:sz w:val="24"/>
              </w:rPr>
              <w:t>писать простые связные сообщения на знакомые или интересующие профессиональные темы</w:t>
            </w:r>
          </w:p>
        </w:tc>
        <w:tc>
          <w:tcPr>
            <w:tcW w:type="dxa" w:w="2833"/>
            <w:tcBorders>
              <w:top w:color="000000" w:sz="4" w:val="single"/>
              <w:left w:color="000000" w:sz="4" w:val="single"/>
              <w:bottom w:color="000000" w:sz="4" w:val="single"/>
              <w:right w:color="000000" w:sz="4" w:val="single"/>
            </w:tcBorders>
            <w:shd w:fill="auto" w:val="clear"/>
          </w:tcPr>
          <w:p w14:paraId="89000000">
            <w:pPr>
              <w:rPr>
                <w:rFonts w:ascii="Times New Roman" w:hAnsi="Times New Roman"/>
                <w:sz w:val="24"/>
              </w:rPr>
            </w:pPr>
            <w:r>
              <w:rPr>
                <w:rFonts w:ascii="Times New Roman" w:hAnsi="Times New Roman"/>
                <w:sz w:val="24"/>
              </w:rPr>
              <w:t>правила построения простых и сложных предложений на профессиональные темы</w:t>
            </w:r>
          </w:p>
          <w:p w14:paraId="8A000000">
            <w:pPr>
              <w:rPr>
                <w:rFonts w:ascii="Times New Roman" w:hAnsi="Times New Roman"/>
                <w:sz w:val="24"/>
              </w:rPr>
            </w:pPr>
            <w:r>
              <w:rPr>
                <w:rFonts w:ascii="Times New Roman" w:hAnsi="Times New Roman"/>
                <w:sz w:val="24"/>
              </w:rPr>
              <w:t>основные общеупотребительные глаголы (бытовая и профессиональная лексика)</w:t>
            </w:r>
          </w:p>
          <w:p w14:paraId="8B000000">
            <w:pPr>
              <w:rPr>
                <w:rFonts w:ascii="Times New Roman" w:hAnsi="Times New Roman"/>
                <w:sz w:val="24"/>
              </w:rPr>
            </w:pPr>
            <w:r>
              <w:rPr>
                <w:rFonts w:ascii="Times New Roman" w:hAnsi="Times New Roman"/>
                <w:sz w:val="24"/>
              </w:rPr>
              <w:t>лексический минимум, относящийся к описанию предметов, средств и процессов профессиональной деятельности</w:t>
            </w:r>
          </w:p>
          <w:p w14:paraId="8C000000">
            <w:pPr>
              <w:rPr>
                <w:rFonts w:ascii="Times New Roman" w:hAnsi="Times New Roman"/>
                <w:sz w:val="24"/>
              </w:rPr>
            </w:pPr>
            <w:r>
              <w:rPr>
                <w:rFonts w:ascii="Times New Roman" w:hAnsi="Times New Roman"/>
                <w:sz w:val="24"/>
              </w:rPr>
              <w:t>особенности произношения</w:t>
            </w:r>
          </w:p>
          <w:p w14:paraId="8D000000">
            <w:pPr>
              <w:rPr>
                <w:rFonts w:ascii="Times New Roman" w:hAnsi="Times New Roman"/>
                <w:sz w:val="24"/>
              </w:rPr>
            </w:pPr>
            <w:r>
              <w:rPr>
                <w:rFonts w:ascii="Times New Roman" w:hAnsi="Times New Roman"/>
                <w:sz w:val="24"/>
              </w:rPr>
              <w:t>правила чтения текстов профессиональной направленности</w:t>
            </w:r>
          </w:p>
        </w:tc>
        <w:tc>
          <w:tcPr>
            <w:tcW w:type="dxa" w:w="2833"/>
            <w:tcBorders>
              <w:top w:color="000000" w:sz="4" w:val="single"/>
              <w:left w:color="000000" w:sz="4" w:val="single"/>
              <w:bottom w:color="000000" w:sz="4" w:val="single"/>
              <w:right w:color="000000" w:sz="4" w:val="single"/>
            </w:tcBorders>
          </w:tcPr>
          <w:p w14:paraId="8E000000">
            <w:pPr>
              <w:ind/>
              <w:jc w:val="center"/>
              <w:rPr>
                <w:rFonts w:ascii="Times New Roman" w:hAnsi="Times New Roman"/>
                <w:sz w:val="24"/>
              </w:rPr>
            </w:pPr>
          </w:p>
        </w:tc>
      </w:tr>
      <w:tr>
        <w:tc>
          <w:tcPr>
            <w:tcW w:type="dxa" w:w="1129"/>
            <w:tcBorders>
              <w:top w:color="000000" w:sz="4" w:val="single"/>
              <w:left w:color="000000" w:sz="4" w:val="single"/>
              <w:bottom w:color="000000" w:sz="4" w:val="single"/>
              <w:right w:color="000000" w:sz="4" w:val="single"/>
            </w:tcBorders>
          </w:tcPr>
          <w:p w14:paraId="8F000000">
            <w:pPr>
              <w:rPr>
                <w:rFonts w:ascii="Times New Roman" w:hAnsi="Times New Roman"/>
                <w:sz w:val="24"/>
              </w:rPr>
            </w:pPr>
            <w:r>
              <w:rPr>
                <w:rFonts w:ascii="Times New Roman" w:hAnsi="Times New Roman"/>
                <w:sz w:val="24"/>
              </w:rPr>
              <w:t>ПК 1.1</w:t>
            </w:r>
          </w:p>
        </w:tc>
        <w:tc>
          <w:tcPr>
            <w:tcW w:type="dxa" w:w="2833"/>
            <w:tcBorders>
              <w:top w:color="000000" w:sz="4" w:val="single"/>
              <w:left w:color="000000" w:sz="4" w:val="single"/>
              <w:bottom w:color="000000" w:sz="4" w:val="single"/>
              <w:right w:color="000000" w:sz="4" w:val="single"/>
            </w:tcBorders>
          </w:tcPr>
          <w:p w14:paraId="90000000">
            <w:pPr>
              <w:rPr>
                <w:rFonts w:ascii="Times New Roman" w:hAnsi="Times New Roman"/>
                <w:sz w:val="24"/>
              </w:rPr>
            </w:pPr>
            <w:r>
              <w:rPr>
                <w:rFonts w:ascii="Times New Roman" w:hAnsi="Times New Roman"/>
                <w:sz w:val="24"/>
              </w:rPr>
              <w:t>составлять (оформлять) первичные учетные документы, в том числе электронные документы</w:t>
            </w:r>
          </w:p>
          <w:p w14:paraId="91000000">
            <w:pPr>
              <w:rPr>
                <w:rFonts w:ascii="Times New Roman" w:hAnsi="Times New Roman"/>
                <w:sz w:val="24"/>
              </w:rPr>
            </w:pPr>
            <w:r>
              <w:rPr>
                <w:rFonts w:ascii="Times New Roman" w:hAnsi="Times New Roman"/>
                <w:sz w:val="24"/>
              </w:rPr>
              <w:t xml:space="preserve">осуществлять комплексную проверку </w:t>
            </w:r>
            <w:r>
              <w:rPr>
                <w:rFonts w:ascii="Times New Roman" w:hAnsi="Times New Roman"/>
                <w:sz w:val="24"/>
              </w:rPr>
              <w:t>первичных учетных документов</w:t>
            </w:r>
          </w:p>
          <w:p w14:paraId="92000000">
            <w:pPr>
              <w:rPr>
                <w:rFonts w:ascii="Times New Roman" w:hAnsi="Times New Roman"/>
                <w:sz w:val="24"/>
              </w:rPr>
            </w:pPr>
            <w:r>
              <w:rPr>
                <w:rFonts w:ascii="Times New Roman" w:hAnsi="Times New Roman"/>
                <w:sz w:val="24"/>
              </w:rPr>
              <w:t>пользоваться компьютерными программами для ведения бухгалтерского учета, информационными и справочно-правовыми системами</w:t>
            </w:r>
          </w:p>
          <w:p w14:paraId="93000000">
            <w:pPr>
              <w:rPr>
                <w:rFonts w:ascii="Times New Roman" w:hAnsi="Times New Roman"/>
                <w:sz w:val="24"/>
              </w:rPr>
            </w:pPr>
            <w:r>
              <w:rPr>
                <w:rFonts w:ascii="Times New Roman" w:hAnsi="Times New Roman"/>
                <w:sz w:val="24"/>
              </w:rPr>
              <w:t>обеспечивать сохранность первичных учетных документов до передачи их в архив</w:t>
            </w:r>
          </w:p>
        </w:tc>
        <w:tc>
          <w:tcPr>
            <w:tcW w:type="dxa" w:w="2833"/>
            <w:tcBorders>
              <w:top w:color="000000" w:sz="4" w:val="single"/>
              <w:left w:color="000000" w:sz="4" w:val="single"/>
              <w:bottom w:color="000000" w:sz="4" w:val="single"/>
              <w:right w:color="000000" w:sz="4" w:val="single"/>
            </w:tcBorders>
            <w:shd w:fill="auto" w:val="clear"/>
          </w:tcPr>
          <w:p w14:paraId="94000000">
            <w:pPr>
              <w:rPr>
                <w:rFonts w:ascii="Times New Roman" w:hAnsi="Times New Roman"/>
                <w:sz w:val="24"/>
              </w:rPr>
            </w:pPr>
            <w:r>
              <w:rPr>
                <w:rFonts w:ascii="Times New Roman" w:hAnsi="Times New Roman"/>
                <w:sz w:val="24"/>
              </w:rPr>
              <w:t>законодательство Российской Федерации о бухгалтерском учете, архивном деле</w:t>
            </w:r>
          </w:p>
          <w:p w14:paraId="95000000">
            <w:pPr>
              <w:rPr>
                <w:rFonts w:ascii="Times New Roman" w:hAnsi="Times New Roman"/>
                <w:sz w:val="24"/>
              </w:rPr>
            </w:pPr>
            <w:r>
              <w:rPr>
                <w:rFonts w:ascii="Times New Roman" w:hAnsi="Times New Roman"/>
                <w:sz w:val="24"/>
              </w:rPr>
              <w:t xml:space="preserve">практика применения законодательства </w:t>
            </w:r>
            <w:r>
              <w:rPr>
                <w:rFonts w:ascii="Times New Roman" w:hAnsi="Times New Roman"/>
                <w:sz w:val="24"/>
              </w:rPr>
              <w:t>Российской Федерации по вопросам оформления первичных учетных документов</w:t>
            </w:r>
          </w:p>
          <w:p w14:paraId="96000000">
            <w:pPr>
              <w:rPr>
                <w:rFonts w:ascii="Times New Roman" w:hAnsi="Times New Roman"/>
                <w:sz w:val="24"/>
              </w:rPr>
            </w:pPr>
            <w:r>
              <w:rPr>
                <w:rFonts w:ascii="Times New Roman" w:hAnsi="Times New Roman"/>
                <w:sz w:val="24"/>
              </w:rPr>
              <w:t>внутренние организационно-распорядительные документы экономического субъекта, регламентирующие порядок составления, хранения и передачи в архив первичных учетных документов</w:t>
            </w:r>
          </w:p>
          <w:p w14:paraId="97000000">
            <w:pPr>
              <w:rPr>
                <w:rFonts w:ascii="Times New Roman" w:hAnsi="Times New Roman"/>
                <w:sz w:val="24"/>
              </w:rPr>
            </w:pPr>
            <w:r>
              <w:rPr>
                <w:rFonts w:ascii="Times New Roman" w:hAnsi="Times New Roman"/>
                <w:sz w:val="24"/>
              </w:rPr>
              <w:t>компьютерные программы для ведения бухгалтерского учета</w:t>
            </w:r>
          </w:p>
        </w:tc>
        <w:tc>
          <w:tcPr>
            <w:tcW w:type="dxa" w:w="2833"/>
            <w:tcBorders>
              <w:top w:color="000000" w:sz="4" w:val="single"/>
              <w:left w:color="000000" w:sz="4" w:val="single"/>
              <w:bottom w:color="000000" w:sz="4" w:val="single"/>
              <w:right w:color="000000" w:sz="4" w:val="single"/>
            </w:tcBorders>
          </w:tcPr>
          <w:p w14:paraId="98000000">
            <w:pPr>
              <w:rPr>
                <w:rFonts w:ascii="Times New Roman" w:hAnsi="Times New Roman"/>
                <w:sz w:val="24"/>
              </w:rPr>
            </w:pPr>
            <w:r>
              <w:rPr>
                <w:rFonts w:ascii="Times New Roman" w:hAnsi="Times New Roman"/>
                <w:sz w:val="24"/>
              </w:rPr>
              <w:t>составление (оформление) первичных учетных документов</w:t>
            </w:r>
          </w:p>
          <w:p w14:paraId="99000000">
            <w:pPr>
              <w:rPr>
                <w:rFonts w:ascii="Times New Roman" w:hAnsi="Times New Roman"/>
                <w:sz w:val="24"/>
              </w:rPr>
            </w:pPr>
            <w:r>
              <w:rPr>
                <w:rFonts w:ascii="Times New Roman" w:hAnsi="Times New Roman"/>
                <w:sz w:val="24"/>
              </w:rPr>
              <w:t xml:space="preserve">прием первичных учетных документов о фактах хозяйственной </w:t>
            </w:r>
            <w:r>
              <w:rPr>
                <w:rFonts w:ascii="Times New Roman" w:hAnsi="Times New Roman"/>
                <w:sz w:val="24"/>
              </w:rPr>
              <w:t>жизни экономического субъекта</w:t>
            </w:r>
          </w:p>
          <w:p w14:paraId="9A000000">
            <w:pPr>
              <w:rPr>
                <w:rFonts w:ascii="Times New Roman" w:hAnsi="Times New Roman"/>
                <w:sz w:val="24"/>
              </w:rPr>
            </w:pPr>
            <w:r>
              <w:rPr>
                <w:rFonts w:ascii="Times New Roman" w:hAnsi="Times New Roman"/>
                <w:sz w:val="24"/>
              </w:rPr>
              <w:t>проверка первичных учетных документов в отношении формы, полноты оформления, реквизитов</w:t>
            </w:r>
          </w:p>
          <w:p w14:paraId="9B000000">
            <w:pPr>
              <w:rPr>
                <w:rFonts w:ascii="Times New Roman" w:hAnsi="Times New Roman"/>
                <w:sz w:val="24"/>
              </w:rPr>
            </w:pPr>
            <w:r>
              <w:rPr>
                <w:rFonts w:ascii="Times New Roman" w:hAnsi="Times New Roman"/>
                <w:sz w:val="24"/>
              </w:rPr>
              <w:t>систематизация первичных учетных документов текущего отчетного периода в соответствии с учетной политикой</w:t>
            </w:r>
          </w:p>
          <w:p w14:paraId="9C000000">
            <w:pPr>
              <w:rPr>
                <w:rFonts w:ascii="Times New Roman" w:hAnsi="Times New Roman"/>
                <w:sz w:val="24"/>
              </w:rPr>
            </w:pPr>
            <w:r>
              <w:rPr>
                <w:rFonts w:ascii="Times New Roman" w:hAnsi="Times New Roman"/>
                <w:sz w:val="24"/>
              </w:rPr>
              <w:t>составление на основе первичных учетных документов сводных учетных документов</w:t>
            </w:r>
          </w:p>
          <w:p w14:paraId="9D000000">
            <w:pPr>
              <w:rPr>
                <w:rFonts w:ascii="Times New Roman" w:hAnsi="Times New Roman"/>
                <w:sz w:val="24"/>
              </w:rPr>
            </w:pPr>
            <w:r>
              <w:rPr>
                <w:rFonts w:ascii="Times New Roman" w:hAnsi="Times New Roman"/>
                <w:sz w:val="24"/>
              </w:rPr>
              <w:t>подготовка первичных учетных документов для передачи в архив</w:t>
            </w:r>
          </w:p>
        </w:tc>
      </w:tr>
      <w:tr>
        <w:tc>
          <w:tcPr>
            <w:tcW w:type="dxa" w:w="1129"/>
            <w:tcBorders>
              <w:top w:color="000000" w:sz="4" w:val="single"/>
              <w:left w:color="000000" w:sz="4" w:val="single"/>
              <w:bottom w:color="000000" w:sz="4" w:val="single"/>
              <w:right w:color="000000" w:sz="4" w:val="single"/>
            </w:tcBorders>
          </w:tcPr>
          <w:p w14:paraId="9E000000">
            <w:pPr>
              <w:rPr>
                <w:rFonts w:ascii="Times New Roman" w:hAnsi="Times New Roman"/>
                <w:sz w:val="24"/>
              </w:rPr>
            </w:pPr>
            <w:r>
              <w:rPr>
                <w:rFonts w:ascii="Times New Roman" w:hAnsi="Times New Roman"/>
                <w:sz w:val="24"/>
              </w:rPr>
              <w:t>ПК 1.2</w:t>
            </w:r>
          </w:p>
        </w:tc>
        <w:tc>
          <w:tcPr>
            <w:tcW w:type="dxa" w:w="2833"/>
            <w:tcBorders>
              <w:top w:color="000000" w:sz="4" w:val="single"/>
              <w:left w:color="000000" w:sz="4" w:val="single"/>
              <w:bottom w:color="000000" w:sz="4" w:val="single"/>
              <w:right w:color="000000" w:sz="4" w:val="single"/>
            </w:tcBorders>
          </w:tcPr>
          <w:p w14:paraId="9F000000">
            <w:pPr>
              <w:rPr>
                <w:rFonts w:ascii="Times New Roman" w:hAnsi="Times New Roman"/>
                <w:sz w:val="24"/>
              </w:rPr>
            </w:pPr>
            <w:r>
              <w:rPr>
                <w:rFonts w:ascii="Times New Roman" w:hAnsi="Times New Roman"/>
                <w:sz w:val="24"/>
              </w:rPr>
              <w:t>применять правила стоимостного измерения объектов бухгалтерского учета, способы начисления амортизации, принятые в учетной политике экономического субъекта</w:t>
            </w:r>
          </w:p>
          <w:p w14:paraId="A0000000">
            <w:pPr>
              <w:rPr>
                <w:rFonts w:ascii="Times New Roman" w:hAnsi="Times New Roman"/>
                <w:sz w:val="24"/>
              </w:rPr>
            </w:pPr>
            <w:r>
              <w:rPr>
                <w:rFonts w:ascii="Times New Roman" w:hAnsi="Times New Roman"/>
                <w:sz w:val="24"/>
              </w:rPr>
              <w:t>применять методы калькулирования себестоимости продукции (работ, услуг), составлять отчетные калькуляции, производить расчеты заработной платы, пособий и иных выплат работникам экономического субъекта</w:t>
            </w:r>
          </w:p>
          <w:p w14:paraId="A1000000">
            <w:pPr>
              <w:rPr>
                <w:rFonts w:ascii="Times New Roman" w:hAnsi="Times New Roman"/>
                <w:sz w:val="24"/>
              </w:rPr>
            </w:pPr>
            <w:r>
              <w:rPr>
                <w:rFonts w:ascii="Times New Roman" w:hAnsi="Times New Roman"/>
                <w:sz w:val="24"/>
              </w:rPr>
              <w:t>исчислять рублевый эквивалент выраженной в иностранной валюте стоимости активов и обязательств</w:t>
            </w:r>
          </w:p>
        </w:tc>
        <w:tc>
          <w:tcPr>
            <w:tcW w:type="dxa" w:w="2833"/>
            <w:tcBorders>
              <w:top w:color="000000" w:sz="4" w:val="single"/>
              <w:left w:color="000000" w:sz="4" w:val="single"/>
              <w:bottom w:color="000000" w:sz="4" w:val="single"/>
              <w:right w:color="000000" w:sz="4" w:val="single"/>
            </w:tcBorders>
            <w:shd w:fill="auto" w:val="clear"/>
          </w:tcPr>
          <w:p w14:paraId="A2000000">
            <w:pPr>
              <w:rPr>
                <w:rFonts w:ascii="Times New Roman" w:hAnsi="Times New Roman"/>
                <w:sz w:val="24"/>
              </w:rPr>
            </w:pPr>
            <w:r>
              <w:rPr>
                <w:rFonts w:ascii="Times New Roman" w:hAnsi="Times New Roman"/>
                <w:sz w:val="24"/>
              </w:rPr>
              <w:t>законодательство Российской Федерации о бухгалтерском учете, налогах и сборах, социальном и медицинском страховании, пенсионном обеспечении, гражданское, трудовое, таможенное законодательство Российской Федерации</w:t>
            </w:r>
          </w:p>
          <w:p w14:paraId="A3000000">
            <w:pPr>
              <w:rPr>
                <w:rFonts w:ascii="Times New Roman" w:hAnsi="Times New Roman"/>
                <w:sz w:val="24"/>
              </w:rPr>
            </w:pPr>
            <w:r>
              <w:rPr>
                <w:rFonts w:ascii="Times New Roman" w:hAnsi="Times New Roman"/>
                <w:sz w:val="24"/>
              </w:rPr>
              <w:t>практика применения законодательства Российской Федерации по вопросам денежного измерения объектов бухгалтерского учета</w:t>
            </w:r>
          </w:p>
          <w:p w14:paraId="A4000000">
            <w:pPr>
              <w:rPr>
                <w:rFonts w:ascii="Times New Roman" w:hAnsi="Times New Roman"/>
                <w:sz w:val="24"/>
              </w:rPr>
            </w:pPr>
            <w:r>
              <w:rPr>
                <w:rFonts w:ascii="Times New Roman" w:hAnsi="Times New Roman"/>
                <w:sz w:val="24"/>
              </w:rPr>
              <w:t>методы калькулирования себестоимости продукции (работ, услуг)</w:t>
            </w:r>
          </w:p>
          <w:p w14:paraId="A5000000">
            <w:pPr>
              <w:rPr>
                <w:rFonts w:ascii="Times New Roman" w:hAnsi="Times New Roman"/>
                <w:sz w:val="24"/>
              </w:rPr>
            </w:pPr>
            <w:r>
              <w:rPr>
                <w:rFonts w:ascii="Times New Roman" w:hAnsi="Times New Roman"/>
                <w:sz w:val="24"/>
              </w:rPr>
              <w:t>методы учета затрат продукции (работ, услуг)</w:t>
            </w:r>
          </w:p>
          <w:p w14:paraId="A6000000">
            <w:pPr>
              <w:rPr>
                <w:rFonts w:ascii="Times New Roman" w:hAnsi="Times New Roman"/>
                <w:sz w:val="24"/>
              </w:rPr>
            </w:pPr>
            <w:r>
              <w:rPr>
                <w:rFonts w:ascii="Times New Roman" w:hAnsi="Times New Roman"/>
                <w:sz w:val="24"/>
              </w:rPr>
              <w:t xml:space="preserve">внутренние организационно-распорядительные документы экономического субъекта, регламентирующие стоимостное измерение </w:t>
            </w:r>
            <w:r>
              <w:rPr>
                <w:rFonts w:ascii="Times New Roman" w:hAnsi="Times New Roman"/>
                <w:sz w:val="24"/>
              </w:rPr>
              <w:t>объектов бухгалтерского учета, а также оплату труда</w:t>
            </w:r>
          </w:p>
        </w:tc>
        <w:tc>
          <w:tcPr>
            <w:tcW w:type="dxa" w:w="2833"/>
            <w:tcBorders>
              <w:top w:color="000000" w:sz="4" w:val="single"/>
              <w:left w:color="000000" w:sz="4" w:val="single"/>
              <w:bottom w:color="000000" w:sz="4" w:val="single"/>
              <w:right w:color="000000" w:sz="4" w:val="single"/>
            </w:tcBorders>
          </w:tcPr>
          <w:p w14:paraId="A7000000">
            <w:pPr>
              <w:rPr>
                <w:rFonts w:ascii="Times New Roman" w:hAnsi="Times New Roman"/>
                <w:sz w:val="24"/>
              </w:rPr>
            </w:pPr>
            <w:r>
              <w:rPr>
                <w:rFonts w:ascii="Times New Roman" w:hAnsi="Times New Roman"/>
                <w:sz w:val="24"/>
              </w:rPr>
              <w:t>денежное измерение объектов бухгалтерского учета и осуществление соответствующих бухгалтерских записей</w:t>
            </w:r>
          </w:p>
          <w:p w14:paraId="A8000000">
            <w:pPr>
              <w:rPr>
                <w:rFonts w:ascii="Times New Roman" w:hAnsi="Times New Roman"/>
                <w:sz w:val="24"/>
              </w:rPr>
            </w:pPr>
            <w:r>
              <w:rPr>
                <w:rFonts w:ascii="Times New Roman" w:hAnsi="Times New Roman"/>
                <w:sz w:val="24"/>
              </w:rPr>
              <w:t>отражение в бухгалтерском учете результатов переоценки объектов бухгалтерского учета, пересчета в рубли выраженной в иностранной валюте стоимости активов и обязательств</w:t>
            </w:r>
          </w:p>
          <w:p w14:paraId="A9000000">
            <w:pPr>
              <w:rPr>
                <w:rFonts w:ascii="Times New Roman" w:hAnsi="Times New Roman"/>
                <w:sz w:val="24"/>
              </w:rPr>
            </w:pPr>
            <w:r>
              <w:rPr>
                <w:rFonts w:ascii="Times New Roman" w:hAnsi="Times New Roman"/>
                <w:sz w:val="24"/>
              </w:rPr>
              <w:t>составление отчетных калькуляций, калькуляций себестоимости продукции (работ, услуг), распределение косвенных расходов, начисление амортизации активов в соответствии с учетной политикой экономического субъекта</w:t>
            </w:r>
          </w:p>
        </w:tc>
      </w:tr>
      <w:tr>
        <w:trPr>
          <w:trHeight w:hRule="atLeast" w:val="327"/>
        </w:trPr>
        <w:tc>
          <w:tcPr>
            <w:tcW w:type="dxa" w:w="1129"/>
            <w:tcBorders>
              <w:top w:color="000000" w:sz="4" w:val="single"/>
              <w:left w:color="000000" w:sz="4" w:val="single"/>
              <w:bottom w:color="000000" w:sz="4" w:val="single"/>
              <w:right w:color="000000" w:sz="4" w:val="single"/>
            </w:tcBorders>
          </w:tcPr>
          <w:p w14:paraId="AA000000">
            <w:pPr>
              <w:rPr>
                <w:rFonts w:ascii="Times New Roman" w:hAnsi="Times New Roman"/>
                <w:sz w:val="24"/>
              </w:rPr>
            </w:pPr>
            <w:r>
              <w:rPr>
                <w:rFonts w:ascii="Times New Roman" w:hAnsi="Times New Roman"/>
                <w:sz w:val="24"/>
              </w:rPr>
              <w:t>ПК 1.3</w:t>
            </w:r>
          </w:p>
        </w:tc>
        <w:tc>
          <w:tcPr>
            <w:tcW w:type="dxa" w:w="2833"/>
            <w:tcBorders>
              <w:top w:color="000000" w:sz="4" w:val="single"/>
              <w:left w:color="000000" w:sz="4" w:val="single"/>
              <w:bottom w:color="000000" w:sz="4" w:val="single"/>
              <w:right w:color="000000" w:sz="4" w:val="single"/>
            </w:tcBorders>
          </w:tcPr>
          <w:p w14:paraId="AB000000">
            <w:pPr>
              <w:rPr>
                <w:rFonts w:ascii="Times New Roman" w:hAnsi="Times New Roman"/>
                <w:sz w:val="24"/>
              </w:rPr>
            </w:pPr>
            <w:r>
              <w:rPr>
                <w:rFonts w:ascii="Times New Roman" w:hAnsi="Times New Roman"/>
                <w:sz w:val="24"/>
              </w:rPr>
              <w:t>идентифицировать объекты налогообложения, исчислять налоговую базу, сумму налога и сбора, а также сумму взносов в государственные внебюджетные фонды</w:t>
            </w:r>
          </w:p>
          <w:p w14:paraId="AC000000">
            <w:pPr>
              <w:rPr>
                <w:rFonts w:ascii="Times New Roman" w:hAnsi="Times New Roman"/>
                <w:sz w:val="24"/>
              </w:rPr>
            </w:pPr>
            <w:r>
              <w:rPr>
                <w:rFonts w:ascii="Times New Roman" w:hAnsi="Times New Roman"/>
                <w:sz w:val="24"/>
              </w:rPr>
              <w:t>составлять регистры налогового учета, налоговые расчеты и декларации, отчетность в государственные внебюджетные фонды</w:t>
            </w:r>
          </w:p>
        </w:tc>
        <w:tc>
          <w:tcPr>
            <w:tcW w:type="dxa" w:w="2833"/>
            <w:tcBorders>
              <w:top w:color="000000" w:sz="4" w:val="single"/>
              <w:left w:color="000000" w:sz="4" w:val="single"/>
              <w:bottom w:color="000000" w:sz="4" w:val="single"/>
              <w:right w:color="000000" w:sz="4" w:val="single"/>
            </w:tcBorders>
            <w:shd w:fill="auto" w:val="clear"/>
          </w:tcPr>
          <w:p w14:paraId="AD000000">
            <w:pPr>
              <w:rPr>
                <w:rFonts w:ascii="Times New Roman" w:hAnsi="Times New Roman"/>
                <w:sz w:val="24"/>
              </w:rPr>
            </w:pPr>
            <w:r>
              <w:rPr>
                <w:rFonts w:ascii="Times New Roman" w:hAnsi="Times New Roman"/>
                <w:sz w:val="24"/>
              </w:rPr>
              <w:t>законодательство Российской Федерации о налогах и сборах, бухгалтерском учете, социальном и медицинском страховании, пенсионном обеспечении; гражданское, таможенное, трудовое, валютное, бюджетное законодательство Российской Федерации; законодательство Российской Федерации, регулирующее административную и уголовную ответственность за нарушения в сфере уплаты налогов и сборов;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AE000000">
            <w:pPr>
              <w:rPr>
                <w:rFonts w:ascii="Times New Roman" w:hAnsi="Times New Roman"/>
                <w:sz w:val="24"/>
              </w:rPr>
            </w:pPr>
            <w:r>
              <w:rPr>
                <w:rFonts w:ascii="Times New Roman" w:hAnsi="Times New Roman"/>
                <w:sz w:val="24"/>
              </w:rPr>
              <w:t>судебная практика по налогообложению</w:t>
            </w:r>
          </w:p>
        </w:tc>
        <w:tc>
          <w:tcPr>
            <w:tcW w:type="dxa" w:w="2833"/>
            <w:tcBorders>
              <w:top w:color="000000" w:sz="4" w:val="single"/>
              <w:left w:color="000000" w:sz="4" w:val="single"/>
              <w:bottom w:color="000000" w:sz="4" w:val="single"/>
              <w:right w:color="000000" w:sz="4" w:val="single"/>
            </w:tcBorders>
          </w:tcPr>
          <w:p w14:paraId="AF000000">
            <w:pPr>
              <w:rPr>
                <w:rFonts w:ascii="Times New Roman" w:hAnsi="Times New Roman"/>
                <w:sz w:val="24"/>
              </w:rPr>
            </w:pPr>
            <w:r>
              <w:rPr>
                <w:rFonts w:ascii="Times New Roman" w:hAnsi="Times New Roman"/>
                <w:sz w:val="24"/>
              </w:rPr>
              <w:t>ведение налогового учета</w:t>
            </w:r>
          </w:p>
          <w:p w14:paraId="B0000000">
            <w:pPr>
              <w:rPr>
                <w:rFonts w:ascii="Times New Roman" w:hAnsi="Times New Roman"/>
                <w:sz w:val="24"/>
              </w:rPr>
            </w:pPr>
            <w:r>
              <w:rPr>
                <w:rFonts w:ascii="Times New Roman" w:hAnsi="Times New Roman"/>
                <w:sz w:val="24"/>
              </w:rPr>
              <w:t>исчисление и уплата взносов в государственные внебюджетные фонды</w:t>
            </w:r>
          </w:p>
        </w:tc>
      </w:tr>
      <w:tr>
        <w:trPr>
          <w:trHeight w:hRule="atLeast" w:val="327"/>
        </w:trPr>
        <w:tc>
          <w:tcPr>
            <w:tcW w:type="dxa" w:w="1129"/>
            <w:tcBorders>
              <w:top w:color="000000" w:sz="4" w:val="single"/>
              <w:left w:color="000000" w:sz="4" w:val="single"/>
              <w:bottom w:color="000000" w:sz="4" w:val="single"/>
              <w:right w:color="000000" w:sz="4" w:val="single"/>
            </w:tcBorders>
          </w:tcPr>
          <w:p w14:paraId="B1000000">
            <w:pPr>
              <w:rPr>
                <w:rFonts w:ascii="Times New Roman" w:hAnsi="Times New Roman"/>
                <w:sz w:val="24"/>
              </w:rPr>
            </w:pPr>
            <w:r>
              <w:rPr>
                <w:rFonts w:ascii="Times New Roman" w:hAnsi="Times New Roman"/>
                <w:sz w:val="24"/>
              </w:rPr>
              <w:t>ПК 1.4</w:t>
            </w:r>
          </w:p>
        </w:tc>
        <w:tc>
          <w:tcPr>
            <w:tcW w:type="dxa" w:w="2833"/>
            <w:tcBorders>
              <w:top w:color="000000" w:sz="4" w:val="single"/>
              <w:left w:color="000000" w:sz="4" w:val="single"/>
              <w:bottom w:color="000000" w:sz="4" w:val="single"/>
              <w:right w:color="000000" w:sz="4" w:val="single"/>
            </w:tcBorders>
          </w:tcPr>
          <w:p w14:paraId="B2000000">
            <w:pPr>
              <w:rPr>
                <w:rFonts w:ascii="Times New Roman" w:hAnsi="Times New Roman"/>
                <w:sz w:val="24"/>
              </w:rPr>
            </w:pPr>
            <w:r>
              <w:rPr>
                <w:rFonts w:ascii="Times New Roman" w:hAnsi="Times New Roman"/>
                <w:sz w:val="24"/>
              </w:rPr>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p w14:paraId="B3000000">
            <w:pPr>
              <w:rPr>
                <w:rFonts w:ascii="Times New Roman" w:hAnsi="Times New Roman"/>
                <w:sz w:val="24"/>
              </w:rPr>
            </w:pPr>
            <w:r>
              <w:rPr>
                <w:rFonts w:ascii="Times New Roman" w:hAnsi="Times New Roman"/>
                <w:sz w:val="24"/>
              </w:rPr>
              <w:t>применять рабочий план счетов бухгалтерского учета организации</w:t>
            </w:r>
          </w:p>
        </w:tc>
        <w:tc>
          <w:tcPr>
            <w:tcW w:type="dxa" w:w="2833"/>
            <w:tcBorders>
              <w:top w:color="000000" w:sz="4" w:val="single"/>
              <w:left w:color="000000" w:sz="4" w:val="single"/>
              <w:bottom w:color="000000" w:sz="4" w:val="single"/>
              <w:right w:color="000000" w:sz="4" w:val="single"/>
            </w:tcBorders>
            <w:shd w:fill="auto" w:val="clear"/>
          </w:tcPr>
          <w:p w14:paraId="B4000000">
            <w:pPr>
              <w:rPr>
                <w:rFonts w:ascii="Times New Roman" w:hAnsi="Times New Roman"/>
                <w:sz w:val="24"/>
              </w:rPr>
            </w:pPr>
            <w:r>
              <w:rPr>
                <w:rFonts w:ascii="Times New Roman" w:hAnsi="Times New Roman"/>
                <w:sz w:val="24"/>
              </w:rPr>
              <w:t>сущность плана счетов бухгалтерского учета финансово-хозяйственной деятельности организаций;</w:t>
            </w:r>
          </w:p>
          <w:p w14:paraId="B5000000">
            <w:pPr>
              <w:rPr>
                <w:rFonts w:ascii="Times New Roman" w:hAnsi="Times New Roman"/>
                <w:sz w:val="24"/>
              </w:rPr>
            </w:pPr>
            <w:r>
              <w:rPr>
                <w:rFonts w:ascii="Times New Roman" w:hAnsi="Times New Roman"/>
                <w:sz w:val="24"/>
              </w:rPr>
              <w:t>теоретические вопросы разработки и применения плана счетов бухгалтерского учета в финансово-хозяйственной деятельности организации;</w:t>
            </w:r>
          </w:p>
          <w:p w14:paraId="B6000000">
            <w:pPr>
              <w:rPr>
                <w:rFonts w:ascii="Times New Roman" w:hAnsi="Times New Roman"/>
                <w:sz w:val="24"/>
              </w:rPr>
            </w:pPr>
            <w:r>
              <w:rPr>
                <w:rFonts w:ascii="Times New Roman" w:hAnsi="Times New Roman"/>
                <w:sz w:val="24"/>
              </w:rPr>
              <w:t xml:space="preserve">инструкцию по применению плана </w:t>
            </w:r>
            <w:r>
              <w:rPr>
                <w:rFonts w:ascii="Times New Roman" w:hAnsi="Times New Roman"/>
                <w:sz w:val="24"/>
              </w:rPr>
              <w:t>счетов бухгалтерского учета;</w:t>
            </w:r>
          </w:p>
          <w:p w14:paraId="B7000000">
            <w:pPr>
              <w:rPr>
                <w:rFonts w:ascii="Times New Roman" w:hAnsi="Times New Roman"/>
                <w:sz w:val="24"/>
              </w:rPr>
            </w:pPr>
            <w:r>
              <w:rPr>
                <w:rFonts w:ascii="Times New Roman" w:hAnsi="Times New Roman"/>
                <w:sz w:val="24"/>
              </w:rPr>
              <w:t>классификацию счетов бухгалтерского учета по экономическому содержанию, назначению и структуре</w:t>
            </w:r>
          </w:p>
        </w:tc>
        <w:tc>
          <w:tcPr>
            <w:tcW w:type="dxa" w:w="2833"/>
            <w:tcBorders>
              <w:top w:color="000000" w:sz="4" w:val="single"/>
              <w:left w:color="000000" w:sz="4" w:val="single"/>
              <w:bottom w:color="000000" w:sz="4" w:val="single"/>
              <w:right w:color="000000" w:sz="4" w:val="single"/>
            </w:tcBorders>
          </w:tcPr>
          <w:p w14:paraId="B8000000">
            <w:pPr>
              <w:rPr>
                <w:rFonts w:ascii="Times New Roman" w:hAnsi="Times New Roman"/>
                <w:sz w:val="24"/>
              </w:rPr>
            </w:pPr>
            <w:r>
              <w:rPr>
                <w:rFonts w:ascii="Times New Roman" w:hAnsi="Times New Roman"/>
                <w:sz w:val="24"/>
              </w:rPr>
              <w:t>п</w:t>
            </w:r>
            <w:r>
              <w:rPr>
                <w:rFonts w:ascii="Times New Roman" w:hAnsi="Times New Roman"/>
                <w:sz w:val="24"/>
              </w:rPr>
              <w:t>рименения рабочего плана счетов с учетом масштабов и видов деятельности экономического субъекта</w:t>
            </w:r>
          </w:p>
        </w:tc>
      </w:tr>
      <w:tr>
        <w:trPr>
          <w:trHeight w:hRule="atLeast" w:val="327"/>
        </w:trPr>
        <w:tc>
          <w:tcPr>
            <w:tcW w:type="dxa" w:w="1129"/>
            <w:tcBorders>
              <w:top w:color="000000" w:sz="4" w:val="single"/>
              <w:left w:color="000000" w:sz="4" w:val="single"/>
              <w:bottom w:color="000000" w:sz="4" w:val="single"/>
              <w:right w:color="000000" w:sz="4" w:val="single"/>
            </w:tcBorders>
          </w:tcPr>
          <w:p w14:paraId="B9000000">
            <w:pPr>
              <w:rPr>
                <w:rFonts w:ascii="Times New Roman" w:hAnsi="Times New Roman"/>
                <w:sz w:val="24"/>
              </w:rPr>
            </w:pPr>
            <w:r>
              <w:rPr>
                <w:rFonts w:ascii="Times New Roman" w:hAnsi="Times New Roman"/>
                <w:sz w:val="24"/>
              </w:rPr>
              <w:t>ПК 1.5</w:t>
            </w:r>
          </w:p>
        </w:tc>
        <w:tc>
          <w:tcPr>
            <w:tcW w:type="dxa" w:w="2833"/>
            <w:tcBorders>
              <w:top w:color="000000" w:sz="4" w:val="single"/>
              <w:left w:color="000000" w:sz="4" w:val="single"/>
              <w:bottom w:color="000000" w:sz="4" w:val="single"/>
              <w:right w:color="000000" w:sz="4" w:val="single"/>
            </w:tcBorders>
          </w:tcPr>
          <w:p w14:paraId="BA000000">
            <w:pPr>
              <w:rPr>
                <w:rFonts w:ascii="Times New Roman" w:hAnsi="Times New Roman"/>
                <w:sz w:val="24"/>
              </w:rPr>
            </w:pPr>
            <w:r>
              <w:rPr>
                <w:rFonts w:ascii="Times New Roman" w:hAnsi="Times New Roman"/>
                <w:sz w:val="24"/>
              </w:rPr>
              <w:t>вести регистрацию и накопление данных посредством двойной записи, по простой системе</w:t>
            </w:r>
          </w:p>
          <w:p w14:paraId="BB000000">
            <w:pPr>
              <w:rPr>
                <w:rFonts w:ascii="Times New Roman" w:hAnsi="Times New Roman"/>
                <w:sz w:val="24"/>
              </w:rPr>
            </w:pPr>
            <w:r>
              <w:rPr>
                <w:rFonts w:ascii="Times New Roman" w:hAnsi="Times New Roman"/>
                <w:sz w:val="24"/>
              </w:rPr>
              <w:t>составлять бухгалтерские записи в соответствии с рабочим планом счетов экономического субъекта</w:t>
            </w:r>
          </w:p>
          <w:p w14:paraId="BC000000">
            <w:pPr>
              <w:rPr>
                <w:rFonts w:ascii="Times New Roman" w:hAnsi="Times New Roman"/>
                <w:sz w:val="24"/>
              </w:rPr>
            </w:pPr>
            <w:r>
              <w:rPr>
                <w:rFonts w:ascii="Times New Roman" w:hAnsi="Times New Roman"/>
                <w:sz w:val="24"/>
              </w:rPr>
              <w:t>сопоставлять данные аналитического учета с оборотами и остатками по счетам синтетического учета на последний календарный день каждого месяца</w:t>
            </w:r>
          </w:p>
          <w:p w14:paraId="BD000000">
            <w:pPr>
              <w:rPr>
                <w:rFonts w:ascii="Times New Roman" w:hAnsi="Times New Roman"/>
                <w:sz w:val="24"/>
              </w:rPr>
            </w:pPr>
            <w:r>
              <w:rPr>
                <w:rFonts w:ascii="Times New Roman" w:hAnsi="Times New Roman"/>
                <w:sz w:val="24"/>
              </w:rPr>
              <w:t>готовить справки, ответы на запросы, содержащие информацию, формируемую в системе бухгалтерского учета</w:t>
            </w:r>
          </w:p>
          <w:p w14:paraId="BE000000">
            <w:pPr>
              <w:rPr>
                <w:rFonts w:ascii="Times New Roman" w:hAnsi="Times New Roman"/>
                <w:sz w:val="24"/>
              </w:rPr>
            </w:pPr>
            <w:r>
              <w:rPr>
                <w:rFonts w:ascii="Times New Roman" w:hAnsi="Times New Roman"/>
                <w:sz w:val="24"/>
              </w:rPr>
              <w:t>обеспечивать сохранность регистров бухгалтерского учета до передачи их в архив</w:t>
            </w:r>
          </w:p>
          <w:p w14:paraId="BF000000">
            <w:pPr>
              <w:rPr>
                <w:rFonts w:ascii="Times New Roman" w:hAnsi="Times New Roman"/>
                <w:sz w:val="24"/>
              </w:rPr>
            </w:pPr>
            <w:r>
              <w:rPr>
                <w:rFonts w:ascii="Times New Roman" w:hAnsi="Times New Roman"/>
                <w:sz w:val="24"/>
              </w:rPr>
              <w:t>исправлять ошибки, допущенные при ведении бухгалтерского учета, в соответствии с установленными правилами</w:t>
            </w:r>
          </w:p>
        </w:tc>
        <w:tc>
          <w:tcPr>
            <w:tcW w:type="dxa" w:w="2833"/>
            <w:tcBorders>
              <w:top w:color="000000" w:sz="4" w:val="single"/>
              <w:left w:color="000000" w:sz="4" w:val="single"/>
              <w:bottom w:color="000000" w:sz="4" w:val="single"/>
              <w:right w:color="000000" w:sz="4" w:val="single"/>
            </w:tcBorders>
            <w:shd w:fill="auto" w:val="clear"/>
          </w:tcPr>
          <w:p w14:paraId="C0000000">
            <w:pPr>
              <w:rPr>
                <w:rFonts w:ascii="Times New Roman" w:hAnsi="Times New Roman"/>
                <w:sz w:val="24"/>
              </w:rPr>
            </w:pPr>
            <w:r>
              <w:rPr>
                <w:rFonts w:ascii="Times New Roman" w:hAnsi="Times New Roman"/>
                <w:sz w:val="24"/>
              </w:rPr>
              <w:t>законодательство Российской Федерации о бухгалтерском учете, налогах и сборах, архивном деле, социальном и медицинском страховании, пенсионном обеспечении, хранении и изъятии регистров бухгалтерского учета, гражданское, трудовое, таможенное законодательство Российской Федерации</w:t>
            </w:r>
          </w:p>
          <w:p w14:paraId="C1000000">
            <w:pPr>
              <w:rPr>
                <w:rFonts w:ascii="Times New Roman" w:hAnsi="Times New Roman"/>
                <w:sz w:val="24"/>
              </w:rPr>
            </w:pPr>
            <w:r>
              <w:rPr>
                <w:rFonts w:ascii="Times New Roman" w:hAnsi="Times New Roman"/>
                <w:sz w:val="24"/>
              </w:rPr>
              <w:t>практика применения законодательства Российской Федерации по бухгалтерскому учету</w:t>
            </w:r>
          </w:p>
          <w:p w14:paraId="C2000000">
            <w:pPr>
              <w:rPr>
                <w:rFonts w:ascii="Times New Roman" w:hAnsi="Times New Roman"/>
                <w:sz w:val="24"/>
              </w:rPr>
            </w:pPr>
            <w:r>
              <w:rPr>
                <w:rFonts w:ascii="Times New Roman" w:hAnsi="Times New Roman"/>
                <w:sz w:val="24"/>
              </w:rPr>
              <w:t>внутренние организационно-распорядительные документы экономического субъекта, регламентирующие особенности группировки информации, содержащейся в первичных учетных документах, хранения документов и защиты информации в экономическом субъекте</w:t>
            </w:r>
          </w:p>
          <w:p w14:paraId="C3000000">
            <w:pPr>
              <w:rPr>
                <w:rFonts w:ascii="Times New Roman" w:hAnsi="Times New Roman"/>
                <w:sz w:val="24"/>
              </w:rPr>
            </w:pPr>
            <w:r>
              <w:rPr>
                <w:rFonts w:ascii="Times New Roman" w:hAnsi="Times New Roman"/>
                <w:sz w:val="24"/>
              </w:rPr>
              <w:t>порядок составления сводных учетных документов в целях осуществления контроля и упорядочения обработки данных о фактах хозяйственной жизни</w:t>
            </w:r>
          </w:p>
        </w:tc>
        <w:tc>
          <w:tcPr>
            <w:tcW w:type="dxa" w:w="2833"/>
            <w:tcBorders>
              <w:top w:color="000000" w:sz="4" w:val="single"/>
              <w:left w:color="000000" w:sz="4" w:val="single"/>
              <w:bottom w:color="000000" w:sz="4" w:val="single"/>
              <w:right w:color="000000" w:sz="4" w:val="single"/>
            </w:tcBorders>
          </w:tcPr>
          <w:p w14:paraId="C4000000">
            <w:pPr>
              <w:rPr>
                <w:rFonts w:ascii="Times New Roman" w:hAnsi="Times New Roman"/>
                <w:sz w:val="24"/>
              </w:rPr>
            </w:pPr>
            <w:r>
              <w:rPr>
                <w:rFonts w:ascii="Times New Roman" w:hAnsi="Times New Roman"/>
                <w:sz w:val="24"/>
              </w:rPr>
              <w:t>регистрация данных, содержащихся в первичных учетных документах, в регистрах бухгалтерского учета</w:t>
            </w:r>
          </w:p>
          <w:p w14:paraId="C5000000">
            <w:pPr>
              <w:rPr>
                <w:rFonts w:ascii="Times New Roman" w:hAnsi="Times New Roman"/>
                <w:sz w:val="24"/>
              </w:rPr>
            </w:pPr>
            <w:r>
              <w:rPr>
                <w:rFonts w:ascii="Times New Roman" w:hAnsi="Times New Roman"/>
                <w:sz w:val="24"/>
              </w:rPr>
              <w:t>подсчет в регистрах бухгалтерского учета итогов и остатков по счетам синтетического и аналитического учета, закрытие оборотов по счетам бухгалтерского учета</w:t>
            </w:r>
          </w:p>
          <w:p w14:paraId="C6000000">
            <w:pPr>
              <w:rPr>
                <w:rFonts w:ascii="Times New Roman" w:hAnsi="Times New Roman"/>
                <w:sz w:val="24"/>
              </w:rPr>
            </w:pPr>
            <w:r>
              <w:rPr>
                <w:rFonts w:ascii="Times New Roman" w:hAnsi="Times New Roman"/>
                <w:sz w:val="24"/>
              </w:rPr>
              <w:t>контроль тождества данных аналитического учета оборотам и остаткам по счетам синтетического учета</w:t>
            </w:r>
          </w:p>
          <w:p w14:paraId="C7000000">
            <w:pPr>
              <w:rPr>
                <w:rFonts w:ascii="Times New Roman" w:hAnsi="Times New Roman"/>
                <w:sz w:val="24"/>
              </w:rPr>
            </w:pPr>
            <w:r>
              <w:rPr>
                <w:rFonts w:ascii="Times New Roman" w:hAnsi="Times New Roman"/>
                <w:sz w:val="24"/>
              </w:rPr>
              <w:t xml:space="preserve">составление </w:t>
            </w:r>
            <w:r>
              <w:rPr>
                <w:rFonts w:ascii="Times New Roman" w:hAnsi="Times New Roman"/>
                <w:sz w:val="24"/>
              </w:rPr>
              <w:t>оборотно</w:t>
            </w:r>
            <w:r>
              <w:rPr>
                <w:rFonts w:ascii="Times New Roman" w:hAnsi="Times New Roman"/>
                <w:sz w:val="24"/>
              </w:rPr>
              <w:t>-сальдовой ведомости и главной книги</w:t>
            </w:r>
          </w:p>
          <w:p w14:paraId="C8000000">
            <w:pPr>
              <w:rPr>
                <w:rFonts w:ascii="Times New Roman" w:hAnsi="Times New Roman"/>
                <w:sz w:val="24"/>
              </w:rPr>
            </w:pPr>
            <w:r>
              <w:rPr>
                <w:rFonts w:ascii="Times New Roman" w:hAnsi="Times New Roman"/>
                <w:sz w:val="24"/>
              </w:rPr>
              <w:t>систематизация и комплектование регистров бухгалтерского учета за отчетный период</w:t>
            </w:r>
          </w:p>
          <w:p w14:paraId="C9000000">
            <w:pPr>
              <w:rPr>
                <w:rFonts w:ascii="Times New Roman" w:hAnsi="Times New Roman"/>
                <w:sz w:val="24"/>
              </w:rPr>
            </w:pPr>
            <w:r>
              <w:rPr>
                <w:rFonts w:ascii="Times New Roman" w:hAnsi="Times New Roman"/>
                <w:sz w:val="24"/>
              </w:rPr>
              <w:t>передача регистров бухгалтерского учета в архив</w:t>
            </w:r>
          </w:p>
          <w:p w14:paraId="CA000000">
            <w:pPr>
              <w:rPr>
                <w:rFonts w:ascii="Times New Roman" w:hAnsi="Times New Roman"/>
                <w:sz w:val="24"/>
              </w:rPr>
            </w:pPr>
            <w:r>
              <w:rPr>
                <w:rFonts w:ascii="Times New Roman" w:hAnsi="Times New Roman"/>
                <w:sz w:val="24"/>
              </w:rPr>
              <w:t>отражение в бухгалтерском учете выявленных расхождений между фактическим наличием объектов и данными регистров бухгалтерского учета</w:t>
            </w:r>
          </w:p>
        </w:tc>
      </w:tr>
      <w:tr>
        <w:trPr>
          <w:trHeight w:hRule="atLeast" w:val="327"/>
        </w:trPr>
        <w:tc>
          <w:tcPr>
            <w:tcW w:type="dxa" w:w="1129"/>
            <w:tcBorders>
              <w:top w:color="000000" w:sz="4" w:val="single"/>
              <w:left w:color="000000" w:sz="4" w:val="single"/>
              <w:bottom w:color="000000" w:sz="4" w:val="single"/>
              <w:right w:color="000000" w:sz="4" w:val="single"/>
            </w:tcBorders>
          </w:tcPr>
          <w:p w14:paraId="CB000000">
            <w:pPr>
              <w:rPr>
                <w:rFonts w:ascii="Times New Roman" w:hAnsi="Times New Roman"/>
                <w:sz w:val="24"/>
              </w:rPr>
            </w:pPr>
            <w:r>
              <w:rPr>
                <w:rFonts w:ascii="Times New Roman" w:hAnsi="Times New Roman"/>
                <w:sz w:val="24"/>
              </w:rPr>
              <w:t>ПК 1.6</w:t>
            </w:r>
          </w:p>
        </w:tc>
        <w:tc>
          <w:tcPr>
            <w:tcW w:type="dxa" w:w="2833"/>
            <w:tcBorders>
              <w:top w:color="000000" w:sz="4" w:val="single"/>
              <w:left w:color="000000" w:sz="4" w:val="single"/>
              <w:bottom w:color="000000" w:sz="4" w:val="single"/>
              <w:right w:color="000000" w:sz="4" w:val="single"/>
            </w:tcBorders>
          </w:tcPr>
          <w:p w14:paraId="CC000000">
            <w:pPr>
              <w:rPr>
                <w:rFonts w:ascii="Times New Roman" w:hAnsi="Times New Roman"/>
                <w:sz w:val="24"/>
              </w:rPr>
            </w:pPr>
            <w:r>
              <w:rPr>
                <w:rFonts w:ascii="Times New Roman" w:hAnsi="Times New Roman"/>
                <w:sz w:val="24"/>
              </w:rPr>
              <w:t>пользоваться компьютерными программами для ведения бухгалтерского учета, информационными и справочно-правовыми системами</w:t>
            </w:r>
          </w:p>
        </w:tc>
        <w:tc>
          <w:tcPr>
            <w:tcW w:type="dxa" w:w="2833"/>
            <w:tcBorders>
              <w:top w:color="000000" w:sz="4" w:val="single"/>
              <w:left w:color="000000" w:sz="4" w:val="single"/>
              <w:bottom w:color="000000" w:sz="4" w:val="single"/>
              <w:right w:color="000000" w:sz="4" w:val="single"/>
            </w:tcBorders>
            <w:shd w:fill="auto" w:val="clear"/>
          </w:tcPr>
          <w:p w14:paraId="CD000000">
            <w:pPr>
              <w:rPr>
                <w:rFonts w:ascii="Times New Roman" w:hAnsi="Times New Roman"/>
                <w:sz w:val="24"/>
              </w:rPr>
            </w:pPr>
            <w:r>
              <w:rPr>
                <w:rFonts w:ascii="Times New Roman" w:hAnsi="Times New Roman"/>
                <w:sz w:val="24"/>
              </w:rPr>
              <w:t>порядок обмена информацией по телекоммуникационным каналам связи</w:t>
            </w:r>
          </w:p>
          <w:p w14:paraId="CE000000">
            <w:pPr>
              <w:rPr>
                <w:rFonts w:ascii="Times New Roman" w:hAnsi="Times New Roman"/>
                <w:sz w:val="24"/>
              </w:rPr>
            </w:pPr>
            <w:r>
              <w:rPr>
                <w:rFonts w:ascii="Times New Roman" w:hAnsi="Times New Roman"/>
                <w:sz w:val="24"/>
              </w:rPr>
              <w:t>современные технологии автоматизированной обработки информации</w:t>
            </w:r>
          </w:p>
          <w:p w14:paraId="CF000000">
            <w:pPr>
              <w:rPr>
                <w:rFonts w:ascii="Times New Roman" w:hAnsi="Times New Roman"/>
                <w:sz w:val="24"/>
              </w:rPr>
            </w:pPr>
            <w:r>
              <w:rPr>
                <w:rFonts w:ascii="Times New Roman" w:hAnsi="Times New Roman"/>
                <w:sz w:val="24"/>
              </w:rPr>
              <w:t>компьютерные программы для ведения бухгалтерского учета</w:t>
            </w:r>
          </w:p>
          <w:p w14:paraId="D0000000">
            <w:pPr>
              <w:rPr>
                <w:rFonts w:ascii="Times New Roman" w:hAnsi="Times New Roman"/>
                <w:sz w:val="24"/>
              </w:rPr>
            </w:pPr>
            <w:r>
              <w:rPr>
                <w:rFonts w:ascii="Times New Roman" w:hAnsi="Times New Roman"/>
                <w:sz w:val="24"/>
              </w:rPr>
              <w:t>правила защиты информации, формируемой в системе бухгалтерского учета</w:t>
            </w:r>
          </w:p>
        </w:tc>
        <w:tc>
          <w:tcPr>
            <w:tcW w:type="dxa" w:w="2833"/>
            <w:tcBorders>
              <w:top w:color="000000" w:sz="4" w:val="single"/>
              <w:left w:color="000000" w:sz="4" w:val="single"/>
              <w:bottom w:color="000000" w:sz="4" w:val="single"/>
              <w:right w:color="000000" w:sz="4" w:val="single"/>
            </w:tcBorders>
          </w:tcPr>
          <w:p w14:paraId="D1000000">
            <w:pPr>
              <w:rPr>
                <w:rFonts w:ascii="Times New Roman" w:hAnsi="Times New Roman"/>
                <w:sz w:val="24"/>
              </w:rPr>
            </w:pPr>
            <w:r>
              <w:rPr>
                <w:rFonts w:ascii="Times New Roman" w:hAnsi="Times New Roman"/>
                <w:sz w:val="24"/>
              </w:rPr>
              <w:t>настройки автоматизированной системы бухгалтерского учета на предприятии при применении различных режимов налогообложения</w:t>
            </w:r>
          </w:p>
          <w:p w14:paraId="D2000000">
            <w:pPr>
              <w:rPr>
                <w:rFonts w:ascii="Times New Roman" w:hAnsi="Times New Roman"/>
                <w:sz w:val="24"/>
              </w:rPr>
            </w:pPr>
            <w:r>
              <w:rPr>
                <w:rFonts w:ascii="Times New Roman" w:hAnsi="Times New Roman"/>
                <w:sz w:val="24"/>
              </w:rPr>
              <w:t>учета в автоматизированной системе активов и обязательств организации</w:t>
            </w:r>
          </w:p>
        </w:tc>
      </w:tr>
    </w:tbl>
    <w:p w14:paraId="D3000000">
      <w:pPr>
        <w:ind w:firstLine="709" w:left="0"/>
        <w:rPr>
          <w:rFonts w:ascii="Times New Roman" w:hAnsi="Times New Roman"/>
          <w:sz w:val="24"/>
        </w:rPr>
      </w:pPr>
    </w:p>
    <w:p w14:paraId="D4000000">
      <w:pPr>
        <w:ind w:firstLine="709" w:left="0"/>
        <w:rPr>
          <w:rFonts w:ascii="Times New Roman" w:hAnsi="Times New Roman"/>
          <w:sz w:val="24"/>
        </w:rPr>
      </w:pPr>
    </w:p>
    <w:p w14:paraId="D5000000">
      <w:bookmarkStart w:id="7" w:name="__RefHeading___4"/>
      <w:bookmarkEnd w:id="7"/>
      <w:bookmarkStart w:id="8" w:name="__RefHeading___27"/>
      <w:bookmarkEnd w:id="8"/>
      <w:pPr>
        <w:pStyle w:val="Style_5"/>
        <w:rPr>
          <w:rFonts w:ascii="Times New Roman" w:hAnsi="Times New Roman"/>
        </w:rPr>
      </w:pPr>
      <w:r>
        <w:rPr>
          <w:rFonts w:ascii="Times New Roman" w:hAnsi="Times New Roman"/>
        </w:rPr>
        <w:t>2. Структура и содержание профессионального модуля</w:t>
      </w:r>
    </w:p>
    <w:p w14:paraId="D6000000">
      <w:bookmarkStart w:id="9" w:name="__RefHeading___5"/>
      <w:bookmarkEnd w:id="9"/>
      <w:bookmarkStart w:id="10" w:name="__RefHeading___28"/>
      <w:bookmarkEnd w:id="10"/>
      <w:pPr>
        <w:pStyle w:val="Style_7"/>
        <w:rPr>
          <w:rFonts w:ascii="Times New Roman" w:hAnsi="Times New Roman"/>
        </w:rPr>
      </w:pPr>
      <w:r>
        <w:rPr>
          <w:rFonts w:ascii="Times New Roman" w:hAnsi="Times New Roman"/>
        </w:rPr>
        <w:t>2.1. Трудоемкость освоения модуля</w:t>
      </w:r>
      <w:r>
        <w:rPr>
          <w:rFonts w:ascii="Times New Roman" w:hAnsi="Times New Roman"/>
        </w:rPr>
        <w:t xml:space="preserve"> </w:t>
      </w:r>
    </w:p>
    <w:tbl>
      <w:tblPr>
        <w:tblStyle w:val="Style_8"/>
        <w:tblW w:type="auto" w:w="0"/>
        <w:tblBorders>
          <w:top w:color="000000" w:sz="6" w:val="single"/>
          <w:left w:color="000000" w:sz="6" w:val="single"/>
          <w:bottom w:color="000000" w:sz="6" w:val="single"/>
          <w:right w:color="000000" w:sz="6" w:val="single"/>
          <w:insideH w:color="000000" w:sz="6" w:val="single"/>
          <w:insideV w:color="000000" w:sz="6" w:val="single"/>
        </w:tblBorders>
        <w:tblLayout w:type="fixed"/>
      </w:tblPr>
      <w:tblGrid>
        <w:gridCol w:w="4810"/>
        <w:gridCol w:w="2336"/>
        <w:gridCol w:w="2630"/>
      </w:tblGrid>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D7000000">
            <w:pPr>
              <w:ind/>
              <w:jc w:val="center"/>
              <w:rPr>
                <w:rFonts w:ascii="Times New Roman" w:hAnsi="Times New Roman"/>
                <w:b w:val="1"/>
                <w:sz w:val="24"/>
              </w:rPr>
            </w:pPr>
            <w:bookmarkStart w:id="11" w:name="_Hlk152333186"/>
            <w:r>
              <w:rPr>
                <w:rFonts w:ascii="Times New Roman" w:hAnsi="Times New Roman"/>
                <w:b w:val="1"/>
                <w:sz w:val="24"/>
              </w:rPr>
              <w:t>Наименование составных частей модуля</w:t>
            </w:r>
          </w:p>
        </w:tc>
        <w:tc>
          <w:tcPr>
            <w:tcW w:type="dxa" w:w="2336"/>
            <w:tcBorders>
              <w:top w:color="000000" w:sz="6" w:val="single"/>
              <w:left w:color="000000" w:sz="6" w:val="single"/>
              <w:bottom w:color="000000" w:sz="6" w:val="single"/>
              <w:right w:color="000000" w:sz="6" w:val="single"/>
            </w:tcBorders>
            <w:vAlign w:val="center"/>
          </w:tcPr>
          <w:p w14:paraId="D8000000">
            <w:pPr>
              <w:ind/>
              <w:jc w:val="center"/>
              <w:rPr>
                <w:rFonts w:ascii="Times New Roman" w:hAnsi="Times New Roman"/>
                <w:b w:val="1"/>
                <w:sz w:val="24"/>
              </w:rPr>
            </w:pPr>
            <w:r>
              <w:rPr>
                <w:rFonts w:ascii="Times New Roman" w:hAnsi="Times New Roman"/>
                <w:b w:val="1"/>
                <w:sz w:val="24"/>
              </w:rPr>
              <w:t>Объем в часах</w:t>
            </w:r>
          </w:p>
        </w:tc>
        <w:tc>
          <w:tcPr>
            <w:tcW w:type="dxa" w:w="2630"/>
            <w:tcBorders>
              <w:top w:color="000000" w:sz="6" w:val="single"/>
              <w:left w:color="000000" w:sz="6" w:val="single"/>
              <w:bottom w:color="000000" w:sz="6" w:val="single"/>
              <w:right w:color="000000" w:sz="6" w:val="single"/>
            </w:tcBorders>
          </w:tcPr>
          <w:p w14:paraId="D9000000">
            <w:pPr>
              <w:ind/>
              <w:jc w:val="center"/>
              <w:rPr>
                <w:rFonts w:ascii="Times New Roman" w:hAnsi="Times New Roman"/>
                <w:b w:val="1"/>
                <w:sz w:val="24"/>
              </w:rPr>
            </w:pPr>
            <w:r>
              <w:rPr>
                <w:rFonts w:ascii="Times New Roman" w:hAnsi="Times New Roman"/>
                <w:b w:val="1"/>
                <w:sz w:val="24"/>
              </w:rPr>
              <w:t xml:space="preserve">В т.ч. в форме </w:t>
            </w:r>
            <w:r>
              <w:rPr>
                <w:rFonts w:ascii="Times New Roman" w:hAnsi="Times New Roman"/>
                <w:b w:val="1"/>
                <w:sz w:val="24"/>
              </w:rPr>
              <w:t>практ</w:t>
            </w:r>
            <w:r>
              <w:rPr>
                <w:rFonts w:ascii="Times New Roman" w:hAnsi="Times New Roman"/>
                <w:b w:val="1"/>
                <w:sz w:val="24"/>
              </w:rPr>
              <w:t>. подготовки</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DA000000">
            <w:pPr>
              <w:ind/>
              <w:jc w:val="both"/>
              <w:rPr>
                <w:rFonts w:ascii="Times New Roman" w:hAnsi="Times New Roman"/>
                <w:sz w:val="24"/>
              </w:rPr>
            </w:pPr>
            <w:r>
              <w:rPr>
                <w:rFonts w:ascii="Times New Roman" w:hAnsi="Times New Roman"/>
                <w:sz w:val="24"/>
              </w:rPr>
              <w:t>Учебные занятия</w:t>
            </w:r>
          </w:p>
        </w:tc>
        <w:tc>
          <w:tcPr>
            <w:tcW w:type="dxa" w:w="2336"/>
            <w:tcBorders>
              <w:top w:color="000000" w:sz="6" w:val="single"/>
              <w:left w:color="000000" w:sz="6" w:val="single"/>
              <w:bottom w:color="000000" w:sz="6" w:val="single"/>
              <w:right w:color="000000" w:sz="6" w:val="single"/>
            </w:tcBorders>
            <w:vAlign w:val="center"/>
          </w:tcPr>
          <w:p w14:paraId="DB000000">
            <w:pPr>
              <w:ind/>
              <w:jc w:val="center"/>
              <w:rPr>
                <w:rFonts w:ascii="Times New Roman" w:hAnsi="Times New Roman"/>
                <w:sz w:val="24"/>
              </w:rPr>
            </w:pPr>
            <w:r>
              <w:rPr>
                <w:rFonts w:ascii="Times New Roman" w:hAnsi="Times New Roman"/>
                <w:sz w:val="24"/>
              </w:rPr>
              <w:t>204</w:t>
            </w:r>
          </w:p>
        </w:tc>
        <w:tc>
          <w:tcPr>
            <w:tcW w:type="dxa" w:w="2630"/>
            <w:tcBorders>
              <w:top w:color="000000" w:sz="6" w:val="single"/>
              <w:left w:color="000000" w:sz="6" w:val="single"/>
              <w:bottom w:color="000000" w:sz="6" w:val="single"/>
              <w:right w:color="000000" w:sz="6" w:val="single"/>
            </w:tcBorders>
            <w:vAlign w:val="center"/>
          </w:tcPr>
          <w:p w14:paraId="DC000000">
            <w:pPr>
              <w:ind/>
              <w:jc w:val="center"/>
              <w:rPr>
                <w:rFonts w:ascii="Times New Roman" w:hAnsi="Times New Roman"/>
                <w:sz w:val="24"/>
              </w:rPr>
            </w:pPr>
            <w:r>
              <w:rPr>
                <w:rFonts w:ascii="Times New Roman" w:hAnsi="Times New Roman"/>
                <w:sz w:val="24"/>
              </w:rPr>
              <w:t>112</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DD000000">
            <w:pPr>
              <w:ind/>
              <w:jc w:val="both"/>
              <w:rPr>
                <w:rFonts w:ascii="Times New Roman" w:hAnsi="Times New Roman"/>
                <w:sz w:val="24"/>
              </w:rPr>
            </w:pPr>
            <w:r>
              <w:rPr>
                <w:rFonts w:ascii="Times New Roman" w:hAnsi="Times New Roman"/>
                <w:sz w:val="24"/>
              </w:rPr>
              <w:t>Курсовая работа (проект)</w:t>
            </w:r>
          </w:p>
        </w:tc>
        <w:tc>
          <w:tcPr>
            <w:tcW w:type="dxa" w:w="2336"/>
            <w:tcBorders>
              <w:top w:color="000000" w:sz="6" w:val="single"/>
              <w:left w:color="000000" w:sz="6" w:val="single"/>
              <w:bottom w:color="000000" w:sz="6" w:val="single"/>
              <w:right w:color="000000" w:sz="6" w:val="single"/>
            </w:tcBorders>
            <w:vAlign w:val="center"/>
          </w:tcPr>
          <w:p w14:paraId="DE000000">
            <w:pPr>
              <w:ind/>
              <w:jc w:val="center"/>
              <w:rPr>
                <w:rFonts w:ascii="Times New Roman" w:hAnsi="Times New Roman"/>
                <w:sz w:val="24"/>
              </w:rPr>
            </w:pPr>
            <w:r>
              <w:rPr>
                <w:rFonts w:ascii="Times New Roman" w:hAnsi="Times New Roman"/>
                <w:sz w:val="24"/>
              </w:rPr>
              <w:t>20</w:t>
            </w:r>
          </w:p>
        </w:tc>
        <w:tc>
          <w:tcPr>
            <w:tcW w:type="dxa" w:w="2630"/>
            <w:tcBorders>
              <w:top w:color="000000" w:sz="6" w:val="single"/>
              <w:left w:color="000000" w:sz="6" w:val="single"/>
              <w:bottom w:color="000000" w:sz="6" w:val="single"/>
              <w:right w:color="000000" w:sz="6" w:val="single"/>
            </w:tcBorders>
            <w:vAlign w:val="center"/>
          </w:tcPr>
          <w:p w14:paraId="DF000000">
            <w:pPr>
              <w:ind/>
              <w:jc w:val="center"/>
              <w:rPr>
                <w:rFonts w:ascii="Times New Roman" w:hAnsi="Times New Roman"/>
                <w:sz w:val="24"/>
              </w:rPr>
            </w:pPr>
            <w:r>
              <w:rPr>
                <w:rFonts w:ascii="Times New Roman" w:hAnsi="Times New Roman"/>
                <w:sz w:val="24"/>
              </w:rPr>
              <w:t>20</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E0000000">
            <w:pPr>
              <w:ind/>
              <w:jc w:val="both"/>
              <w:rPr>
                <w:rFonts w:ascii="Times New Roman" w:hAnsi="Times New Roman"/>
                <w:sz w:val="24"/>
              </w:rPr>
            </w:pPr>
            <w:r>
              <w:rPr>
                <w:rFonts w:ascii="Times New Roman" w:hAnsi="Times New Roman"/>
                <w:sz w:val="24"/>
              </w:rPr>
              <w:t>Самостоятельная работа</w:t>
            </w:r>
          </w:p>
        </w:tc>
        <w:tc>
          <w:tcPr>
            <w:tcW w:type="dxa" w:w="2336"/>
            <w:tcBorders>
              <w:top w:color="000000" w:sz="6" w:val="single"/>
              <w:left w:color="000000" w:sz="6" w:val="single"/>
              <w:bottom w:color="000000" w:sz="6" w:val="single"/>
              <w:right w:color="000000" w:sz="6" w:val="single"/>
            </w:tcBorders>
            <w:vAlign w:val="center"/>
          </w:tcPr>
          <w:p w14:paraId="E1000000">
            <w:pPr>
              <w:ind/>
              <w:jc w:val="center"/>
              <w:rPr>
                <w:rFonts w:ascii="Times New Roman" w:hAnsi="Times New Roman"/>
                <w:sz w:val="24"/>
              </w:rPr>
            </w:pPr>
            <w:r>
              <w:rPr>
                <w:rFonts w:ascii="Times New Roman" w:hAnsi="Times New Roman"/>
                <w:sz w:val="24"/>
              </w:rPr>
              <w:t>-</w:t>
            </w:r>
          </w:p>
        </w:tc>
        <w:tc>
          <w:tcPr>
            <w:tcW w:type="dxa" w:w="2630"/>
            <w:tcBorders>
              <w:top w:color="000000" w:sz="6" w:val="single"/>
              <w:left w:color="000000" w:sz="6" w:val="single"/>
              <w:bottom w:color="000000" w:sz="6" w:val="single"/>
              <w:right w:color="000000" w:sz="6" w:val="single"/>
            </w:tcBorders>
            <w:vAlign w:val="center"/>
          </w:tcPr>
          <w:p w14:paraId="E2000000">
            <w:pPr>
              <w:ind/>
              <w:jc w:val="center"/>
              <w:rPr>
                <w:rFonts w:ascii="Times New Roman" w:hAnsi="Times New Roman"/>
                <w:sz w:val="24"/>
              </w:rPr>
            </w:pPr>
            <w:r>
              <w:rPr>
                <w:rFonts w:ascii="Times New Roman" w:hAnsi="Times New Roman"/>
                <w:sz w:val="24"/>
              </w:rPr>
              <w:t>-</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E3000000">
            <w:pPr>
              <w:ind/>
              <w:jc w:val="both"/>
              <w:rPr>
                <w:rFonts w:ascii="Times New Roman" w:hAnsi="Times New Roman"/>
                <w:sz w:val="24"/>
              </w:rPr>
            </w:pPr>
            <w:r>
              <w:rPr>
                <w:rFonts w:ascii="Times New Roman" w:hAnsi="Times New Roman"/>
                <w:sz w:val="24"/>
              </w:rPr>
              <w:t>Практика, в т.ч.:</w:t>
            </w:r>
          </w:p>
        </w:tc>
        <w:tc>
          <w:tcPr>
            <w:tcW w:type="dxa" w:w="2336"/>
            <w:tcBorders>
              <w:top w:color="000000" w:sz="6" w:val="single"/>
              <w:left w:color="000000" w:sz="6" w:val="single"/>
              <w:bottom w:color="000000" w:sz="6" w:val="single"/>
              <w:right w:color="000000" w:sz="6" w:val="single"/>
            </w:tcBorders>
            <w:vAlign w:val="center"/>
          </w:tcPr>
          <w:p w14:paraId="E4000000">
            <w:pPr>
              <w:ind/>
              <w:jc w:val="center"/>
              <w:rPr>
                <w:rFonts w:ascii="Times New Roman" w:hAnsi="Times New Roman"/>
                <w:sz w:val="24"/>
              </w:rPr>
            </w:pPr>
            <w:r>
              <w:rPr>
                <w:rFonts w:ascii="Times New Roman" w:hAnsi="Times New Roman"/>
                <w:sz w:val="24"/>
              </w:rPr>
              <w:t>216</w:t>
            </w:r>
          </w:p>
        </w:tc>
        <w:tc>
          <w:tcPr>
            <w:tcW w:type="dxa" w:w="2630"/>
            <w:tcBorders>
              <w:top w:color="000000" w:sz="6" w:val="single"/>
              <w:left w:color="000000" w:sz="6" w:val="single"/>
              <w:bottom w:color="000000" w:sz="6" w:val="single"/>
              <w:right w:color="000000" w:sz="6" w:val="single"/>
            </w:tcBorders>
            <w:vAlign w:val="center"/>
          </w:tcPr>
          <w:p w14:paraId="E5000000">
            <w:pPr>
              <w:ind/>
              <w:jc w:val="center"/>
              <w:rPr>
                <w:rFonts w:ascii="Times New Roman" w:hAnsi="Times New Roman"/>
                <w:sz w:val="24"/>
              </w:rPr>
            </w:pPr>
            <w:r>
              <w:rPr>
                <w:rFonts w:ascii="Times New Roman" w:hAnsi="Times New Roman"/>
                <w:sz w:val="24"/>
              </w:rPr>
              <w:t>216</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E6000000">
            <w:pPr>
              <w:ind/>
              <w:jc w:val="both"/>
              <w:rPr>
                <w:rFonts w:ascii="Times New Roman" w:hAnsi="Times New Roman"/>
                <w:sz w:val="24"/>
              </w:rPr>
            </w:pPr>
            <w:r>
              <w:rPr>
                <w:rFonts w:ascii="Times New Roman" w:hAnsi="Times New Roman"/>
                <w:sz w:val="24"/>
              </w:rPr>
              <w:t>учебная</w:t>
            </w:r>
          </w:p>
        </w:tc>
        <w:tc>
          <w:tcPr>
            <w:tcW w:type="dxa" w:w="2336"/>
            <w:tcBorders>
              <w:top w:color="000000" w:sz="6" w:val="single"/>
              <w:left w:color="000000" w:sz="6" w:val="single"/>
              <w:bottom w:color="000000" w:sz="6" w:val="single"/>
              <w:right w:color="000000" w:sz="6" w:val="single"/>
            </w:tcBorders>
            <w:vAlign w:val="center"/>
          </w:tcPr>
          <w:p w14:paraId="E7000000">
            <w:pPr>
              <w:ind/>
              <w:jc w:val="center"/>
              <w:rPr>
                <w:rFonts w:ascii="Times New Roman" w:hAnsi="Times New Roman"/>
                <w:i w:val="1"/>
                <w:sz w:val="24"/>
              </w:rPr>
            </w:pPr>
            <w:r>
              <w:rPr>
                <w:rFonts w:ascii="Times New Roman" w:hAnsi="Times New Roman"/>
                <w:i w:val="1"/>
                <w:sz w:val="24"/>
              </w:rPr>
              <w:t>72</w:t>
            </w:r>
          </w:p>
        </w:tc>
        <w:tc>
          <w:tcPr>
            <w:tcW w:type="dxa" w:w="2630"/>
            <w:tcBorders>
              <w:top w:color="000000" w:sz="6" w:val="single"/>
              <w:left w:color="000000" w:sz="6" w:val="single"/>
              <w:bottom w:color="000000" w:sz="6" w:val="single"/>
              <w:right w:color="000000" w:sz="6" w:val="single"/>
            </w:tcBorders>
            <w:vAlign w:val="center"/>
          </w:tcPr>
          <w:p w14:paraId="E8000000">
            <w:pPr>
              <w:ind/>
              <w:jc w:val="center"/>
              <w:rPr>
                <w:rFonts w:ascii="Times New Roman" w:hAnsi="Times New Roman"/>
                <w:i w:val="1"/>
                <w:sz w:val="24"/>
              </w:rPr>
            </w:pPr>
            <w:r>
              <w:rPr>
                <w:rFonts w:ascii="Times New Roman" w:hAnsi="Times New Roman"/>
                <w:i w:val="1"/>
                <w:sz w:val="24"/>
              </w:rPr>
              <w:t>72</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E9000000">
            <w:pPr>
              <w:ind/>
              <w:jc w:val="both"/>
              <w:rPr>
                <w:rFonts w:ascii="Times New Roman" w:hAnsi="Times New Roman"/>
                <w:sz w:val="24"/>
              </w:rPr>
            </w:pPr>
            <w:r>
              <w:rPr>
                <w:rFonts w:ascii="Times New Roman" w:hAnsi="Times New Roman"/>
                <w:sz w:val="24"/>
              </w:rPr>
              <w:t>производственная</w:t>
            </w:r>
          </w:p>
        </w:tc>
        <w:tc>
          <w:tcPr>
            <w:tcW w:type="dxa" w:w="2336"/>
            <w:tcBorders>
              <w:top w:color="000000" w:sz="6" w:val="single"/>
              <w:left w:color="000000" w:sz="6" w:val="single"/>
              <w:bottom w:color="000000" w:sz="6" w:val="single"/>
              <w:right w:color="000000" w:sz="6" w:val="single"/>
            </w:tcBorders>
            <w:vAlign w:val="center"/>
          </w:tcPr>
          <w:p w14:paraId="EA000000">
            <w:pPr>
              <w:ind/>
              <w:jc w:val="center"/>
              <w:rPr>
                <w:rFonts w:ascii="Times New Roman" w:hAnsi="Times New Roman"/>
                <w:i w:val="1"/>
                <w:sz w:val="24"/>
              </w:rPr>
            </w:pPr>
            <w:r>
              <w:rPr>
                <w:rFonts w:ascii="Times New Roman" w:hAnsi="Times New Roman"/>
                <w:i w:val="1"/>
                <w:sz w:val="24"/>
              </w:rPr>
              <w:t>144</w:t>
            </w:r>
          </w:p>
        </w:tc>
        <w:tc>
          <w:tcPr>
            <w:tcW w:type="dxa" w:w="2630"/>
            <w:tcBorders>
              <w:top w:color="000000" w:sz="6" w:val="single"/>
              <w:left w:color="000000" w:sz="6" w:val="single"/>
              <w:bottom w:color="000000" w:sz="6" w:val="single"/>
              <w:right w:color="000000" w:sz="6" w:val="single"/>
            </w:tcBorders>
            <w:vAlign w:val="center"/>
          </w:tcPr>
          <w:p w14:paraId="EB000000">
            <w:pPr>
              <w:ind/>
              <w:jc w:val="center"/>
              <w:rPr>
                <w:rFonts w:ascii="Times New Roman" w:hAnsi="Times New Roman"/>
                <w:i w:val="1"/>
                <w:sz w:val="24"/>
              </w:rPr>
            </w:pPr>
            <w:r>
              <w:rPr>
                <w:rFonts w:ascii="Times New Roman" w:hAnsi="Times New Roman"/>
                <w:i w:val="1"/>
                <w:sz w:val="24"/>
              </w:rPr>
              <w:t>144</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EC000000">
            <w:pPr>
              <w:ind/>
              <w:jc w:val="both"/>
              <w:rPr>
                <w:rFonts w:ascii="Times New Roman" w:hAnsi="Times New Roman"/>
                <w:sz w:val="24"/>
              </w:rPr>
            </w:pPr>
            <w:r>
              <w:rPr>
                <w:rFonts w:ascii="Times New Roman" w:hAnsi="Times New Roman"/>
                <w:sz w:val="24"/>
              </w:rPr>
              <w:t xml:space="preserve">Промежуточная аттестация </w:t>
            </w:r>
          </w:p>
        </w:tc>
        <w:tc>
          <w:tcPr>
            <w:tcW w:type="dxa" w:w="2336"/>
            <w:tcBorders>
              <w:top w:color="000000" w:sz="6" w:val="single"/>
              <w:left w:color="000000" w:sz="6" w:val="single"/>
              <w:bottom w:color="000000" w:sz="6" w:val="single"/>
              <w:right w:color="000000" w:sz="6" w:val="single"/>
            </w:tcBorders>
            <w:vAlign w:val="center"/>
          </w:tcPr>
          <w:p w14:paraId="ED000000">
            <w:pPr>
              <w:ind/>
              <w:jc w:val="center"/>
              <w:rPr>
                <w:rFonts w:ascii="Times New Roman" w:hAnsi="Times New Roman"/>
                <w:sz w:val="24"/>
              </w:rPr>
            </w:pPr>
            <w:r>
              <w:rPr>
                <w:rFonts w:ascii="Times New Roman" w:hAnsi="Times New Roman"/>
                <w:sz w:val="24"/>
              </w:rPr>
              <w:t>ХХ</w:t>
            </w:r>
          </w:p>
        </w:tc>
        <w:tc>
          <w:tcPr>
            <w:tcW w:type="dxa" w:w="2630"/>
            <w:tcBorders>
              <w:top w:color="000000" w:sz="6" w:val="single"/>
              <w:left w:color="000000" w:sz="6" w:val="single"/>
              <w:bottom w:color="000000" w:sz="6" w:val="single"/>
              <w:right w:color="000000" w:sz="6" w:val="single"/>
            </w:tcBorders>
            <w:vAlign w:val="center"/>
          </w:tcPr>
          <w:p w14:paraId="EE000000">
            <w:pPr>
              <w:ind/>
              <w:jc w:val="center"/>
              <w:rPr>
                <w:rFonts w:ascii="Times New Roman" w:hAnsi="Times New Roman"/>
                <w:sz w:val="24"/>
              </w:rPr>
            </w:pPr>
            <w:r>
              <w:rPr>
                <w:rFonts w:ascii="Times New Roman" w:hAnsi="Times New Roman"/>
                <w:sz w:val="24"/>
              </w:rPr>
              <w:t>ХХ</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EF000000">
            <w:pPr>
              <w:ind/>
              <w:jc w:val="both"/>
              <w:rPr>
                <w:rFonts w:ascii="Times New Roman" w:hAnsi="Times New Roman"/>
                <w:sz w:val="24"/>
              </w:rPr>
            </w:pPr>
            <w:r>
              <w:rPr>
                <w:rFonts w:ascii="Times New Roman" w:hAnsi="Times New Roman"/>
                <w:sz w:val="24"/>
              </w:rPr>
              <w:t>Всего</w:t>
            </w:r>
          </w:p>
        </w:tc>
        <w:tc>
          <w:tcPr>
            <w:tcW w:type="dxa" w:w="2336"/>
            <w:tcBorders>
              <w:top w:color="000000" w:sz="6" w:val="single"/>
              <w:left w:color="000000" w:sz="6" w:val="single"/>
              <w:bottom w:color="000000" w:sz="6" w:val="single"/>
              <w:right w:color="000000" w:sz="6" w:val="single"/>
            </w:tcBorders>
            <w:vAlign w:val="center"/>
          </w:tcPr>
          <w:p w14:paraId="F0000000">
            <w:pPr>
              <w:ind/>
              <w:jc w:val="center"/>
              <w:rPr>
                <w:rFonts w:ascii="Times New Roman" w:hAnsi="Times New Roman"/>
                <w:b w:val="1"/>
                <w:sz w:val="24"/>
              </w:rPr>
            </w:pPr>
            <w:r>
              <w:rPr>
                <w:rFonts w:ascii="Times New Roman" w:hAnsi="Times New Roman"/>
                <w:b w:val="1"/>
                <w:sz w:val="24"/>
              </w:rPr>
              <w:t>440</w:t>
            </w:r>
          </w:p>
        </w:tc>
        <w:tc>
          <w:tcPr>
            <w:tcW w:type="dxa" w:w="2630"/>
            <w:tcBorders>
              <w:top w:color="000000" w:sz="6" w:val="single"/>
              <w:left w:color="000000" w:sz="6" w:val="single"/>
              <w:bottom w:color="000000" w:sz="6" w:val="single"/>
              <w:right w:color="000000" w:sz="6" w:val="single"/>
            </w:tcBorders>
            <w:vAlign w:val="center"/>
          </w:tcPr>
          <w:p w14:paraId="F1000000">
            <w:pPr>
              <w:ind/>
              <w:jc w:val="center"/>
              <w:rPr>
                <w:rFonts w:ascii="Times New Roman" w:hAnsi="Times New Roman"/>
                <w:b w:val="1"/>
                <w:sz w:val="24"/>
              </w:rPr>
            </w:pPr>
            <w:r>
              <w:rPr>
                <w:rFonts w:ascii="Times New Roman" w:hAnsi="Times New Roman"/>
                <w:b w:val="1"/>
                <w:sz w:val="24"/>
              </w:rPr>
              <w:t>348</w:t>
            </w:r>
            <w:bookmarkEnd w:id="11"/>
          </w:p>
        </w:tc>
      </w:tr>
    </w:tbl>
    <w:p w14:paraId="F2000000">
      <w:pPr>
        <w:rPr>
          <w:rFonts w:ascii="Times New Roman" w:hAnsi="Times New Roman"/>
          <w:i w:val="1"/>
          <w:sz w:val="24"/>
        </w:rPr>
      </w:pPr>
    </w:p>
    <w:p w14:paraId="F3000000">
      <w:pPr>
        <w:rPr>
          <w:rFonts w:ascii="Times New Roman" w:hAnsi="Times New Roman"/>
          <w:i w:val="1"/>
          <w:sz w:val="24"/>
        </w:rPr>
      </w:pPr>
    </w:p>
    <w:p w14:paraId="F4000000">
      <w:pPr>
        <w:rPr>
          <w:rFonts w:ascii="Times New Roman" w:hAnsi="Times New Roman"/>
          <w:i w:val="1"/>
          <w:sz w:val="24"/>
        </w:rPr>
      </w:pPr>
    </w:p>
    <w:p w14:paraId="F5000000">
      <w:bookmarkStart w:id="12" w:name="__RefHeading___6"/>
      <w:bookmarkEnd w:id="12"/>
      <w:bookmarkStart w:id="13" w:name="__RefHeading___29"/>
      <w:bookmarkEnd w:id="13"/>
      <w:pPr>
        <w:pStyle w:val="Style_7"/>
        <w:rPr>
          <w:rFonts w:ascii="Times New Roman" w:hAnsi="Times New Roman"/>
        </w:rPr>
      </w:pPr>
      <w:r>
        <w:rPr>
          <w:rFonts w:ascii="Times New Roman" w:hAnsi="Times New Roman"/>
        </w:rPr>
        <w:t>2.</w:t>
      </w:r>
      <w:r>
        <w:rPr>
          <w:rFonts w:ascii="Times New Roman" w:hAnsi="Times New Roman"/>
        </w:rPr>
        <w:t>2</w:t>
      </w:r>
      <w:r>
        <w:rPr>
          <w:rFonts w:ascii="Times New Roman" w:hAnsi="Times New Roman"/>
        </w:rPr>
        <w:t>. Структура профессионального модуля</w:t>
      </w:r>
      <w:r>
        <w:rPr>
          <w:rFonts w:ascii="Times New Roman" w:hAnsi="Times New Roman"/>
        </w:rPr>
        <w:t xml:space="preserve"> </w:t>
      </w:r>
    </w:p>
    <w:tbl>
      <w:tblPr>
        <w:tblStyle w:val="Style_8"/>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42"/>
        <w:gridCol w:w="3834"/>
        <w:gridCol w:w="991"/>
        <w:gridCol w:w="564"/>
        <w:gridCol w:w="635"/>
        <w:gridCol w:w="560"/>
        <w:gridCol w:w="508"/>
        <w:gridCol w:w="481"/>
        <w:gridCol w:w="602"/>
        <w:gridCol w:w="569"/>
      </w:tblGrid>
      <w:tr>
        <w:trPr>
          <w:trHeight w:hRule="atLeast" w:val="3271"/>
        </w:trPr>
        <w:tc>
          <w:tcPr>
            <w:tcW w:type="dxa" w:w="842"/>
            <w:tcBorders>
              <w:top w:color="000000" w:sz="4" w:val="single"/>
              <w:left w:color="000000" w:sz="4" w:val="single"/>
              <w:bottom w:color="000000" w:sz="4" w:val="single"/>
              <w:right w:color="000000" w:sz="4" w:val="single"/>
            </w:tcBorders>
          </w:tcPr>
          <w:p w14:paraId="F6000000">
            <w:pPr>
              <w:ind/>
              <w:jc w:val="center"/>
              <w:rPr>
                <w:rFonts w:ascii="Times New Roman" w:hAnsi="Times New Roman"/>
              </w:rPr>
            </w:pPr>
            <w:r>
              <w:rPr>
                <w:rFonts w:ascii="Times New Roman" w:hAnsi="Times New Roman"/>
              </w:rPr>
              <w:t>Код ОК, ПК</w:t>
            </w:r>
          </w:p>
        </w:tc>
        <w:tc>
          <w:tcPr>
            <w:tcW w:type="dxa" w:w="3834"/>
            <w:tcBorders>
              <w:top w:color="000000" w:sz="4" w:val="single"/>
              <w:left w:color="000000" w:sz="4" w:val="single"/>
              <w:bottom w:color="000000" w:sz="4" w:val="single"/>
              <w:right w:color="000000" w:sz="4" w:val="single"/>
            </w:tcBorders>
            <w:vAlign w:val="center"/>
          </w:tcPr>
          <w:p w14:paraId="F7000000">
            <w:pPr>
              <w:ind/>
              <w:jc w:val="center"/>
              <w:rPr>
                <w:rFonts w:ascii="Times New Roman" w:hAnsi="Times New Roman"/>
              </w:rPr>
            </w:pPr>
            <w:r>
              <w:rPr>
                <w:rFonts w:ascii="Times New Roman" w:hAnsi="Times New Roman"/>
              </w:rPr>
              <w:t>Наименования разделов профессионального модуля</w:t>
            </w:r>
          </w:p>
        </w:tc>
        <w:tc>
          <w:tcPr>
            <w:tcW w:type="dxa" w:w="991"/>
            <w:tcBorders>
              <w:top w:color="000000" w:sz="4" w:val="single"/>
              <w:left w:color="000000" w:sz="4" w:val="single"/>
              <w:bottom w:color="000000" w:sz="4" w:val="single"/>
              <w:right w:color="000000" w:sz="4" w:val="single"/>
            </w:tcBorders>
            <w:vAlign w:val="center"/>
          </w:tcPr>
          <w:p w14:paraId="F8000000">
            <w:pPr>
              <w:ind/>
              <w:jc w:val="center"/>
              <w:rPr>
                <w:rFonts w:ascii="Times New Roman" w:hAnsi="Times New Roman"/>
              </w:rPr>
            </w:pPr>
            <w:r>
              <w:rPr>
                <w:rFonts w:ascii="Times New Roman" w:hAnsi="Times New Roman"/>
              </w:rPr>
              <w:t>Всего, час.</w:t>
            </w:r>
          </w:p>
        </w:tc>
        <w:tc>
          <w:tcPr>
            <w:tcW w:type="dxa" w:w="564"/>
            <w:tcBorders>
              <w:top w:color="000000" w:sz="4" w:val="single"/>
              <w:left w:color="000000" w:sz="4" w:val="single"/>
              <w:bottom w:color="000000" w:sz="4" w:val="single"/>
              <w:right w:color="000000" w:sz="4" w:val="single"/>
            </w:tcBorders>
            <w:textDirection w:val="btLr"/>
            <w:vAlign w:val="center"/>
          </w:tcPr>
          <w:p w14:paraId="F9000000">
            <w:pPr>
              <w:ind/>
              <w:jc w:val="center"/>
              <w:rPr>
                <w:rFonts w:ascii="Times New Roman" w:hAnsi="Times New Roman"/>
              </w:rPr>
            </w:pPr>
            <w:r>
              <w:rPr>
                <w:rFonts w:ascii="Times New Roman" w:hAnsi="Times New Roman"/>
              </w:rPr>
              <w:t>В т.ч. в форме практической подготовки</w:t>
            </w:r>
          </w:p>
        </w:tc>
        <w:tc>
          <w:tcPr>
            <w:tcW w:type="dxa" w:w="635"/>
            <w:tcBorders>
              <w:top w:color="000000" w:sz="4" w:val="single"/>
              <w:left w:color="000000" w:sz="4" w:val="single"/>
              <w:bottom w:color="000000" w:sz="4" w:val="single"/>
              <w:right w:color="000000" w:sz="4" w:val="single"/>
            </w:tcBorders>
            <w:shd w:themeFill="background1" w:themeFillShade="D9" w:val="clear"/>
            <w:textDirection w:val="btLr"/>
            <w:vAlign w:val="center"/>
          </w:tcPr>
          <w:p w14:paraId="FA000000">
            <w:pPr>
              <w:ind w:firstLine="0" w:left="113" w:right="113"/>
              <w:jc w:val="center"/>
              <w:rPr>
                <w:rFonts w:ascii="Times New Roman" w:hAnsi="Times New Roman"/>
              </w:rPr>
            </w:pPr>
            <w:r>
              <w:rPr>
                <w:rFonts w:ascii="Times New Roman" w:hAnsi="Times New Roman"/>
              </w:rPr>
              <w:t>Обучение по МДК, в т.ч.:</w:t>
            </w:r>
          </w:p>
        </w:tc>
        <w:tc>
          <w:tcPr>
            <w:tcW w:type="dxa" w:w="560"/>
            <w:tcBorders>
              <w:top w:color="000000" w:sz="4" w:val="single"/>
              <w:left w:color="000000" w:sz="4" w:val="single"/>
              <w:bottom w:color="000000" w:sz="4" w:val="single"/>
              <w:right w:color="000000" w:sz="4" w:val="single"/>
            </w:tcBorders>
            <w:textDirection w:val="btLr"/>
            <w:vAlign w:val="center"/>
          </w:tcPr>
          <w:p w14:paraId="FB000000">
            <w:pPr>
              <w:ind/>
              <w:jc w:val="center"/>
              <w:rPr>
                <w:rFonts w:ascii="Times New Roman" w:hAnsi="Times New Roman"/>
              </w:rPr>
            </w:pPr>
            <w:r>
              <w:rPr>
                <w:rFonts w:ascii="Times New Roman" w:hAnsi="Times New Roman"/>
                <w:sz w:val="24"/>
              </w:rPr>
              <w:t>Учебные занятия</w:t>
            </w:r>
          </w:p>
        </w:tc>
        <w:tc>
          <w:tcPr>
            <w:tcW w:type="dxa" w:w="508"/>
            <w:tcBorders>
              <w:top w:color="000000" w:sz="4" w:val="single"/>
              <w:left w:color="000000" w:sz="4" w:val="single"/>
              <w:bottom w:color="000000" w:sz="4" w:val="single"/>
              <w:right w:color="000000" w:sz="4" w:val="single"/>
            </w:tcBorders>
            <w:textDirection w:val="btLr"/>
            <w:vAlign w:val="center"/>
          </w:tcPr>
          <w:p w14:paraId="FC000000">
            <w:pPr>
              <w:ind/>
              <w:jc w:val="center"/>
              <w:rPr>
                <w:rFonts w:ascii="Times New Roman" w:hAnsi="Times New Roman"/>
              </w:rPr>
            </w:pPr>
            <w:r>
              <w:rPr>
                <w:rFonts w:ascii="Times New Roman" w:hAnsi="Times New Roman"/>
              </w:rPr>
              <w:t>Курсовая работа (проект)</w:t>
            </w:r>
          </w:p>
        </w:tc>
        <w:tc>
          <w:tcPr>
            <w:tcW w:type="dxa" w:w="481"/>
            <w:tcBorders>
              <w:top w:color="000000" w:sz="4" w:val="single"/>
              <w:left w:color="000000" w:sz="4" w:val="single"/>
              <w:bottom w:color="000000" w:sz="4" w:val="single"/>
              <w:right w:color="000000" w:sz="4" w:val="single"/>
            </w:tcBorders>
            <w:textDirection w:val="btLr"/>
            <w:vAlign w:val="center"/>
          </w:tcPr>
          <w:p w14:paraId="FD000000">
            <w:pPr>
              <w:ind/>
              <w:jc w:val="center"/>
              <w:rPr>
                <w:rFonts w:ascii="Times New Roman" w:hAnsi="Times New Roman"/>
              </w:rPr>
            </w:pPr>
            <w:r>
              <w:rPr>
                <w:rFonts w:ascii="Times New Roman" w:hAnsi="Times New Roman"/>
              </w:rPr>
              <w:t>Самостоятельная работа</w:t>
            </w:r>
            <w:r>
              <w:rPr>
                <w:rFonts w:ascii="Times New Roman" w:hAnsi="Times New Roman"/>
                <w:i w:val="1"/>
                <w:vertAlign w:val="superscript"/>
              </w:rPr>
              <w:footnoteReference w:id="2"/>
            </w:r>
          </w:p>
        </w:tc>
        <w:tc>
          <w:tcPr>
            <w:tcW w:type="dxa" w:w="602"/>
            <w:tcBorders>
              <w:top w:color="000000" w:sz="4" w:val="single"/>
              <w:left w:color="000000" w:sz="4" w:val="single"/>
              <w:bottom w:color="000000" w:sz="4" w:val="single"/>
              <w:right w:color="000000" w:sz="4" w:val="single"/>
            </w:tcBorders>
            <w:shd w:themeFill="background1" w:themeFillShade="D9" w:val="clear"/>
            <w:textDirection w:val="btLr"/>
            <w:vAlign w:val="center"/>
          </w:tcPr>
          <w:p w14:paraId="FE000000">
            <w:pPr>
              <w:ind/>
              <w:jc w:val="center"/>
              <w:rPr>
                <w:rFonts w:ascii="Times New Roman" w:hAnsi="Times New Roman"/>
              </w:rPr>
            </w:pPr>
            <w:r>
              <w:rPr>
                <w:rFonts w:ascii="Times New Roman" w:hAnsi="Times New Roman"/>
              </w:rPr>
              <w:t>Учебная п</w:t>
            </w:r>
            <w:r>
              <w:rPr>
                <w:rFonts w:ascii="Times New Roman" w:hAnsi="Times New Roman"/>
              </w:rPr>
              <w:t>рактик</w:t>
            </w:r>
            <w:r>
              <w:rPr>
                <w:rFonts w:ascii="Times New Roman" w:hAnsi="Times New Roman"/>
              </w:rPr>
              <w:t>а</w:t>
            </w:r>
          </w:p>
        </w:tc>
        <w:tc>
          <w:tcPr>
            <w:tcW w:type="dxa" w:w="569"/>
            <w:tcBorders>
              <w:top w:color="000000" w:sz="4" w:val="single"/>
              <w:left w:color="000000" w:sz="4" w:val="single"/>
              <w:bottom w:color="000000" w:sz="4" w:val="single"/>
              <w:right w:color="000000" w:sz="4" w:val="single"/>
            </w:tcBorders>
            <w:shd w:themeFill="background1" w:themeFillShade="D9" w:val="clear"/>
            <w:textDirection w:val="btLr"/>
          </w:tcPr>
          <w:p w14:paraId="FF000000">
            <w:pPr>
              <w:ind/>
              <w:jc w:val="center"/>
              <w:rPr>
                <w:rFonts w:ascii="Times New Roman" w:hAnsi="Times New Roman"/>
              </w:rPr>
            </w:pPr>
            <w:r>
              <w:rPr>
                <w:rFonts w:ascii="Times New Roman" w:hAnsi="Times New Roman"/>
              </w:rPr>
              <w:t>Производственная практика</w:t>
            </w:r>
          </w:p>
        </w:tc>
      </w:tr>
      <w:tr>
        <w:trPr>
          <w:trHeight w:hRule="atLeast" w:val="73"/>
        </w:trPr>
        <w:tc>
          <w:tcPr>
            <w:tcW w:type="dxa" w:w="842"/>
            <w:tcBorders>
              <w:top w:color="000000" w:sz="4" w:val="single"/>
              <w:left w:color="000000" w:sz="4" w:val="single"/>
              <w:bottom w:color="000000" w:sz="4" w:val="single"/>
              <w:right w:color="000000" w:sz="4" w:val="single"/>
            </w:tcBorders>
            <w:vAlign w:val="center"/>
          </w:tcPr>
          <w:p w14:paraId="00010000">
            <w:pPr>
              <w:ind/>
              <w:jc w:val="center"/>
              <w:rPr>
                <w:rFonts w:ascii="Times New Roman" w:hAnsi="Times New Roman"/>
                <w:sz w:val="16"/>
              </w:rPr>
            </w:pPr>
            <w:r>
              <w:rPr>
                <w:rFonts w:ascii="Times New Roman" w:hAnsi="Times New Roman"/>
                <w:sz w:val="16"/>
              </w:rPr>
              <w:t>1</w:t>
            </w:r>
          </w:p>
        </w:tc>
        <w:tc>
          <w:tcPr>
            <w:tcW w:type="dxa" w:w="3834"/>
            <w:tcBorders>
              <w:top w:color="000000" w:sz="4" w:val="single"/>
              <w:left w:color="000000" w:sz="4" w:val="single"/>
              <w:bottom w:color="000000" w:sz="4" w:val="single"/>
              <w:right w:color="000000" w:sz="4" w:val="single"/>
            </w:tcBorders>
            <w:vAlign w:val="center"/>
          </w:tcPr>
          <w:p w14:paraId="01010000">
            <w:pPr>
              <w:ind/>
              <w:jc w:val="center"/>
              <w:rPr>
                <w:rFonts w:ascii="Times New Roman" w:hAnsi="Times New Roman"/>
                <w:sz w:val="16"/>
              </w:rPr>
            </w:pPr>
            <w:r>
              <w:rPr>
                <w:rFonts w:ascii="Times New Roman" w:hAnsi="Times New Roman"/>
                <w:sz w:val="16"/>
              </w:rPr>
              <w:t>2</w:t>
            </w:r>
          </w:p>
        </w:tc>
        <w:tc>
          <w:tcPr>
            <w:tcW w:type="dxa" w:w="991"/>
            <w:tcBorders>
              <w:top w:color="000000" w:sz="4" w:val="single"/>
              <w:left w:color="000000" w:sz="4" w:val="single"/>
              <w:bottom w:color="000000" w:sz="4" w:val="single"/>
              <w:right w:color="000000" w:sz="4" w:val="single"/>
            </w:tcBorders>
            <w:vAlign w:val="center"/>
          </w:tcPr>
          <w:p w14:paraId="02010000">
            <w:pPr>
              <w:ind/>
              <w:jc w:val="center"/>
              <w:rPr>
                <w:rFonts w:ascii="Times New Roman" w:hAnsi="Times New Roman"/>
                <w:sz w:val="16"/>
              </w:rPr>
            </w:pPr>
            <w:r>
              <w:rPr>
                <w:rFonts w:ascii="Times New Roman" w:hAnsi="Times New Roman"/>
                <w:sz w:val="16"/>
              </w:rPr>
              <w:t>3</w:t>
            </w:r>
          </w:p>
        </w:tc>
        <w:tc>
          <w:tcPr>
            <w:tcW w:type="dxa" w:w="564"/>
            <w:tcBorders>
              <w:top w:color="000000" w:sz="4" w:val="single"/>
              <w:left w:color="000000" w:sz="4" w:val="single"/>
              <w:bottom w:color="000000" w:sz="4" w:val="single"/>
              <w:right w:color="000000" w:sz="4" w:val="single"/>
            </w:tcBorders>
            <w:vAlign w:val="center"/>
          </w:tcPr>
          <w:p w14:paraId="03010000">
            <w:pPr>
              <w:ind/>
              <w:jc w:val="center"/>
              <w:rPr>
                <w:rFonts w:ascii="Times New Roman" w:hAnsi="Times New Roman"/>
                <w:sz w:val="16"/>
              </w:rPr>
            </w:pPr>
            <w:r>
              <w:rPr>
                <w:rFonts w:ascii="Times New Roman" w:hAnsi="Times New Roman"/>
                <w:sz w:val="16"/>
              </w:rPr>
              <w:t>4</w:t>
            </w:r>
          </w:p>
        </w:tc>
        <w:tc>
          <w:tcPr>
            <w:tcW w:type="dxa" w:w="635"/>
            <w:tcBorders>
              <w:top w:color="000000" w:sz="4" w:val="single"/>
              <w:left w:color="000000" w:sz="4" w:val="single"/>
              <w:bottom w:color="000000" w:sz="4" w:val="single"/>
              <w:right w:color="000000" w:sz="4" w:val="single"/>
            </w:tcBorders>
            <w:shd w:themeFill="background1" w:themeFillShade="D9" w:val="clear"/>
            <w:vAlign w:val="center"/>
          </w:tcPr>
          <w:p w14:paraId="04010000">
            <w:pPr>
              <w:ind/>
              <w:jc w:val="center"/>
              <w:rPr>
                <w:rFonts w:ascii="Times New Roman" w:hAnsi="Times New Roman"/>
                <w:sz w:val="16"/>
              </w:rPr>
            </w:pPr>
            <w:r>
              <w:rPr>
                <w:rFonts w:ascii="Times New Roman" w:hAnsi="Times New Roman"/>
                <w:sz w:val="16"/>
              </w:rPr>
              <w:t>5</w:t>
            </w:r>
          </w:p>
        </w:tc>
        <w:tc>
          <w:tcPr>
            <w:tcW w:type="dxa" w:w="560"/>
            <w:tcBorders>
              <w:top w:color="000000" w:sz="4" w:val="single"/>
              <w:left w:color="000000" w:sz="4" w:val="single"/>
              <w:bottom w:color="000000" w:sz="4" w:val="single"/>
              <w:right w:color="000000" w:sz="4" w:val="single"/>
            </w:tcBorders>
            <w:vAlign w:val="center"/>
          </w:tcPr>
          <w:p w14:paraId="05010000">
            <w:pPr>
              <w:ind/>
              <w:jc w:val="center"/>
              <w:rPr>
                <w:rFonts w:ascii="Times New Roman" w:hAnsi="Times New Roman"/>
                <w:sz w:val="16"/>
              </w:rPr>
            </w:pPr>
            <w:r>
              <w:rPr>
                <w:rFonts w:ascii="Times New Roman" w:hAnsi="Times New Roman"/>
                <w:color w:val="000000"/>
                <w:sz w:val="16"/>
              </w:rPr>
              <w:t>6</w:t>
            </w:r>
          </w:p>
        </w:tc>
        <w:tc>
          <w:tcPr>
            <w:tcW w:type="dxa" w:w="508"/>
            <w:tcBorders>
              <w:top w:color="000000" w:sz="4" w:val="single"/>
              <w:left w:color="000000" w:sz="4" w:val="single"/>
              <w:bottom w:color="000000" w:sz="4" w:val="single"/>
              <w:right w:color="000000" w:sz="4" w:val="single"/>
            </w:tcBorders>
            <w:vAlign w:val="center"/>
          </w:tcPr>
          <w:p w14:paraId="06010000">
            <w:pPr>
              <w:ind/>
              <w:jc w:val="center"/>
              <w:rPr>
                <w:rFonts w:ascii="Times New Roman" w:hAnsi="Times New Roman"/>
                <w:sz w:val="16"/>
              </w:rPr>
            </w:pPr>
            <w:r>
              <w:rPr>
                <w:rFonts w:ascii="Times New Roman" w:hAnsi="Times New Roman"/>
                <w:sz w:val="16"/>
              </w:rPr>
              <w:t>7</w:t>
            </w:r>
          </w:p>
        </w:tc>
        <w:tc>
          <w:tcPr>
            <w:tcW w:type="dxa" w:w="481"/>
            <w:tcBorders>
              <w:top w:color="000000" w:sz="4" w:val="single"/>
              <w:left w:color="000000" w:sz="4" w:val="single"/>
              <w:bottom w:color="000000" w:sz="4" w:val="single"/>
              <w:right w:color="000000" w:sz="4" w:val="single"/>
            </w:tcBorders>
            <w:vAlign w:val="center"/>
          </w:tcPr>
          <w:p w14:paraId="07010000">
            <w:pPr>
              <w:ind/>
              <w:jc w:val="center"/>
              <w:rPr>
                <w:rFonts w:ascii="Times New Roman" w:hAnsi="Times New Roman"/>
                <w:sz w:val="16"/>
              </w:rPr>
            </w:pPr>
            <w:r>
              <w:rPr>
                <w:rFonts w:ascii="Times New Roman" w:hAnsi="Times New Roman"/>
                <w:sz w:val="16"/>
              </w:rPr>
              <w:t>8</w:t>
            </w:r>
          </w:p>
        </w:tc>
        <w:tc>
          <w:tcPr>
            <w:tcW w:type="dxa" w:w="602"/>
            <w:tcBorders>
              <w:top w:color="000000" w:sz="4" w:val="single"/>
              <w:left w:color="000000" w:sz="4" w:val="single"/>
              <w:bottom w:color="000000" w:sz="4" w:val="single"/>
              <w:right w:color="000000" w:sz="4" w:val="single"/>
            </w:tcBorders>
            <w:shd w:themeFill="background1" w:themeFillShade="D9" w:val="clear"/>
          </w:tcPr>
          <w:p w14:paraId="08010000">
            <w:pPr>
              <w:ind/>
              <w:jc w:val="center"/>
              <w:rPr>
                <w:rFonts w:ascii="Times New Roman" w:hAnsi="Times New Roman"/>
                <w:sz w:val="16"/>
              </w:rPr>
            </w:pPr>
            <w:r>
              <w:rPr>
                <w:rFonts w:ascii="Times New Roman" w:hAnsi="Times New Roman"/>
                <w:sz w:val="16"/>
              </w:rPr>
              <w:t>9</w:t>
            </w:r>
          </w:p>
        </w:tc>
        <w:tc>
          <w:tcPr>
            <w:tcW w:type="dxa" w:w="569"/>
            <w:tcBorders>
              <w:top w:color="000000" w:sz="4" w:val="single"/>
              <w:left w:color="000000" w:sz="4" w:val="single"/>
              <w:bottom w:color="000000" w:sz="4" w:val="single"/>
              <w:right w:color="000000" w:sz="4" w:val="single"/>
            </w:tcBorders>
            <w:shd w:themeFill="background1" w:themeFillShade="D9" w:val="clear"/>
          </w:tcPr>
          <w:p w14:paraId="09010000">
            <w:pPr>
              <w:ind/>
              <w:jc w:val="center"/>
              <w:rPr>
                <w:rFonts w:ascii="Times New Roman" w:hAnsi="Times New Roman"/>
                <w:sz w:val="16"/>
              </w:rPr>
            </w:pPr>
            <w:r>
              <w:rPr>
                <w:rFonts w:ascii="Times New Roman" w:hAnsi="Times New Roman"/>
                <w:sz w:val="16"/>
              </w:rPr>
              <w:t>10</w:t>
            </w:r>
          </w:p>
        </w:tc>
      </w:tr>
      <w:tr>
        <w:tc>
          <w:tcPr>
            <w:tcW w:type="dxa" w:w="842"/>
            <w:tcBorders>
              <w:top w:color="000000" w:sz="4" w:val="single"/>
              <w:left w:color="000000" w:sz="4" w:val="single"/>
              <w:bottom w:color="000000" w:sz="4" w:val="single"/>
              <w:right w:color="000000" w:sz="4" w:val="single"/>
            </w:tcBorders>
          </w:tcPr>
          <w:p w14:paraId="0A010000">
            <w:pPr>
              <w:rPr>
                <w:rFonts w:ascii="Times New Roman" w:hAnsi="Times New Roman"/>
                <w:sz w:val="16"/>
              </w:rPr>
            </w:pPr>
            <w:r>
              <w:rPr>
                <w:rFonts w:ascii="Times New Roman" w:hAnsi="Times New Roman"/>
                <w:sz w:val="16"/>
              </w:rPr>
              <w:t>ОК 0</w:t>
            </w:r>
            <w:r>
              <w:rPr>
                <w:rFonts w:ascii="Times New Roman" w:hAnsi="Times New Roman"/>
                <w:sz w:val="16"/>
              </w:rPr>
              <w:t>9</w:t>
            </w:r>
          </w:p>
          <w:p w14:paraId="0B010000">
            <w:pPr>
              <w:rPr>
                <w:rFonts w:ascii="Times New Roman" w:hAnsi="Times New Roman"/>
                <w:sz w:val="16"/>
              </w:rPr>
            </w:pPr>
            <w:r>
              <w:rPr>
                <w:rFonts w:ascii="Times New Roman" w:hAnsi="Times New Roman"/>
                <w:sz w:val="16"/>
              </w:rPr>
              <w:t>ПК 1.1 ПК 1.2 ПК 1.4 ПК 1.5</w:t>
            </w:r>
          </w:p>
        </w:tc>
        <w:tc>
          <w:tcPr>
            <w:tcW w:type="dxa" w:w="3834"/>
            <w:tcBorders>
              <w:top w:color="000000" w:sz="4" w:val="single"/>
              <w:left w:color="000000" w:sz="4" w:val="single"/>
              <w:bottom w:color="000000" w:sz="4" w:val="single"/>
              <w:right w:color="000000" w:sz="4" w:val="single"/>
            </w:tcBorders>
          </w:tcPr>
          <w:p w14:paraId="0C010000">
            <w:pPr>
              <w:rPr>
                <w:rFonts w:ascii="Times New Roman" w:hAnsi="Times New Roman"/>
              </w:rPr>
            </w:pPr>
            <w:r>
              <w:rPr>
                <w:rFonts w:ascii="Times New Roman" w:hAnsi="Times New Roman"/>
              </w:rPr>
              <w:t xml:space="preserve">Раздел </w:t>
            </w:r>
            <w:r>
              <w:rPr>
                <w:rFonts w:ascii="Times New Roman" w:hAnsi="Times New Roman"/>
              </w:rPr>
              <w:t xml:space="preserve">1. </w:t>
            </w:r>
          </w:p>
          <w:p w14:paraId="0D010000">
            <w:pPr>
              <w:rPr>
                <w:rFonts w:ascii="Times New Roman" w:hAnsi="Times New Roman"/>
                <w:color w:val="000000"/>
              </w:rPr>
            </w:pPr>
            <w:r>
              <w:rPr>
                <w:rFonts w:ascii="Times New Roman" w:hAnsi="Times New Roman"/>
                <w:color w:val="000000"/>
              </w:rPr>
              <w:t>Практические основы бухгалтерского учета активов организации и источников их формирования</w:t>
            </w:r>
          </w:p>
          <w:p w14:paraId="0E010000">
            <w:pPr>
              <w:rPr>
                <w:rFonts w:ascii="Times New Roman" w:hAnsi="Times New Roman"/>
              </w:rPr>
            </w:pPr>
            <w:r>
              <w:rPr>
                <w:rFonts w:ascii="Times New Roman" w:hAnsi="Times New Roman"/>
              </w:rPr>
              <w:t xml:space="preserve"> </w:t>
            </w:r>
          </w:p>
        </w:tc>
        <w:tc>
          <w:tcPr>
            <w:tcW w:type="dxa" w:w="991"/>
            <w:tcBorders>
              <w:top w:color="000000" w:sz="4" w:val="single"/>
              <w:left w:color="000000" w:sz="4" w:val="single"/>
              <w:bottom w:color="000000" w:sz="4" w:val="single"/>
              <w:right w:color="000000" w:sz="4" w:val="single"/>
            </w:tcBorders>
          </w:tcPr>
          <w:p w14:paraId="0F010000">
            <w:pPr>
              <w:ind/>
              <w:jc w:val="center"/>
              <w:rPr>
                <w:rFonts w:ascii="Times New Roman" w:hAnsi="Times New Roman"/>
                <w:b w:val="1"/>
              </w:rPr>
            </w:pPr>
            <w:r>
              <w:rPr>
                <w:rFonts w:ascii="Times New Roman" w:hAnsi="Times New Roman"/>
                <w:b w:val="1"/>
              </w:rPr>
              <w:t>176</w:t>
            </w:r>
          </w:p>
        </w:tc>
        <w:tc>
          <w:tcPr>
            <w:tcW w:type="dxa" w:w="564"/>
            <w:tcBorders>
              <w:top w:color="000000" w:sz="4" w:val="single"/>
              <w:left w:color="000000" w:sz="4" w:val="single"/>
              <w:bottom w:color="000000" w:sz="4" w:val="single"/>
              <w:right w:color="000000" w:sz="4" w:val="single"/>
            </w:tcBorders>
          </w:tcPr>
          <w:p w14:paraId="10010000">
            <w:pPr>
              <w:ind/>
              <w:jc w:val="center"/>
              <w:rPr>
                <w:rFonts w:ascii="Times New Roman" w:hAnsi="Times New Roman"/>
                <w:b w:val="1"/>
              </w:rPr>
            </w:pPr>
            <w:r>
              <w:rPr>
                <w:rFonts w:ascii="Times New Roman" w:hAnsi="Times New Roman"/>
                <w:b w:val="1"/>
              </w:rPr>
              <w:t>108</w:t>
            </w:r>
          </w:p>
        </w:tc>
        <w:tc>
          <w:tcPr>
            <w:tcW w:type="dxa" w:w="635"/>
            <w:tcBorders>
              <w:top w:color="000000" w:sz="4" w:val="single"/>
              <w:left w:color="000000" w:sz="4" w:val="single"/>
              <w:bottom w:color="000000" w:sz="4" w:val="single"/>
              <w:right w:color="000000" w:sz="4" w:val="single"/>
            </w:tcBorders>
            <w:shd w:themeFill="background1" w:themeFillShade="D9" w:val="clear"/>
          </w:tcPr>
          <w:p w14:paraId="11010000">
            <w:pPr>
              <w:ind/>
              <w:jc w:val="center"/>
              <w:rPr>
                <w:rFonts w:ascii="Times New Roman" w:hAnsi="Times New Roman"/>
                <w:b w:val="1"/>
              </w:rPr>
            </w:pPr>
            <w:r>
              <w:rPr>
                <w:rFonts w:ascii="Times New Roman" w:hAnsi="Times New Roman"/>
                <w:b w:val="1"/>
              </w:rPr>
              <w:t>1</w:t>
            </w:r>
            <w:r>
              <w:rPr>
                <w:rFonts w:ascii="Times New Roman" w:hAnsi="Times New Roman"/>
                <w:b w:val="1"/>
              </w:rPr>
              <w:t>76</w:t>
            </w:r>
          </w:p>
        </w:tc>
        <w:tc>
          <w:tcPr>
            <w:tcW w:type="dxa" w:w="560"/>
            <w:tcBorders>
              <w:top w:color="000000" w:sz="4" w:val="single"/>
              <w:left w:color="000000" w:sz="4" w:val="single"/>
              <w:bottom w:color="000000" w:sz="4" w:val="single"/>
              <w:right w:color="000000" w:sz="4" w:val="single"/>
            </w:tcBorders>
          </w:tcPr>
          <w:p w14:paraId="12010000">
            <w:pPr>
              <w:ind/>
              <w:jc w:val="center"/>
              <w:rPr>
                <w:rFonts w:ascii="Times New Roman" w:hAnsi="Times New Roman"/>
              </w:rPr>
            </w:pPr>
            <w:r>
              <w:rPr>
                <w:rFonts w:ascii="Times New Roman" w:hAnsi="Times New Roman"/>
              </w:rPr>
              <w:t>156</w:t>
            </w:r>
          </w:p>
        </w:tc>
        <w:tc>
          <w:tcPr>
            <w:tcW w:type="dxa" w:w="508"/>
            <w:tcBorders>
              <w:top w:color="000000" w:sz="4" w:val="single"/>
              <w:left w:color="000000" w:sz="4" w:val="single"/>
              <w:bottom w:color="000000" w:sz="4" w:val="single"/>
              <w:right w:color="000000" w:sz="4" w:val="single"/>
            </w:tcBorders>
          </w:tcPr>
          <w:p w14:paraId="13010000">
            <w:pPr>
              <w:ind/>
              <w:jc w:val="center"/>
              <w:rPr>
                <w:rFonts w:ascii="Times New Roman" w:hAnsi="Times New Roman"/>
                <w:b w:val="1"/>
              </w:rPr>
            </w:pPr>
            <w:r>
              <w:rPr>
                <w:rFonts w:ascii="Times New Roman" w:hAnsi="Times New Roman"/>
              </w:rPr>
              <w:t>20</w:t>
            </w:r>
          </w:p>
        </w:tc>
        <w:tc>
          <w:tcPr>
            <w:tcW w:type="dxa" w:w="481"/>
            <w:tcBorders>
              <w:top w:color="000000" w:sz="4" w:val="single"/>
              <w:left w:color="000000" w:sz="4" w:val="single"/>
              <w:bottom w:color="000000" w:sz="4" w:val="single"/>
              <w:right w:color="000000" w:sz="4" w:val="single"/>
            </w:tcBorders>
          </w:tcPr>
          <w:p w14:paraId="14010000">
            <w:pPr>
              <w:ind/>
              <w:jc w:val="center"/>
              <w:rPr>
                <w:rFonts w:ascii="Times New Roman" w:hAnsi="Times New Roman"/>
                <w:b w:val="1"/>
              </w:rPr>
            </w:pPr>
            <w:r>
              <w:rPr>
                <w:rFonts w:ascii="Times New Roman" w:hAnsi="Times New Roman"/>
                <w:b w:val="1"/>
              </w:rPr>
              <w:t>-</w:t>
            </w:r>
          </w:p>
        </w:tc>
        <w:tc>
          <w:tcPr>
            <w:tcW w:type="dxa" w:w="602"/>
            <w:tcBorders>
              <w:top w:color="000000" w:sz="4" w:val="single"/>
              <w:left w:color="000000" w:sz="4" w:val="single"/>
              <w:bottom w:color="000000" w:sz="4" w:val="single"/>
              <w:right w:color="000000" w:sz="4" w:val="single"/>
            </w:tcBorders>
            <w:shd w:themeFill="background1" w:themeFillShade="D9" w:val="clear"/>
          </w:tcPr>
          <w:p w14:paraId="15010000">
            <w:pPr>
              <w:ind/>
              <w:jc w:val="center"/>
              <w:rPr>
                <w:rFonts w:ascii="Times New Roman" w:hAnsi="Times New Roman"/>
                <w:b w:val="1"/>
              </w:rPr>
            </w:pPr>
          </w:p>
        </w:tc>
        <w:tc>
          <w:tcPr>
            <w:tcW w:type="dxa" w:w="569"/>
            <w:tcBorders>
              <w:top w:color="000000" w:sz="4" w:val="single"/>
              <w:left w:color="000000" w:sz="4" w:val="single"/>
              <w:bottom w:color="000000" w:sz="4" w:val="single"/>
              <w:right w:color="000000" w:sz="4" w:val="single"/>
            </w:tcBorders>
            <w:shd w:themeFill="background1" w:themeFillShade="D9" w:val="clear"/>
          </w:tcPr>
          <w:p w14:paraId="16010000">
            <w:pPr>
              <w:ind/>
              <w:jc w:val="center"/>
              <w:rPr>
                <w:rFonts w:ascii="Times New Roman" w:hAnsi="Times New Roman"/>
                <w:b w:val="1"/>
              </w:rPr>
            </w:pPr>
          </w:p>
        </w:tc>
      </w:tr>
      <w:tr>
        <w:trPr>
          <w:trHeight w:hRule="atLeast" w:val="314"/>
        </w:trPr>
        <w:tc>
          <w:tcPr>
            <w:tcW w:type="dxa" w:w="842"/>
            <w:tcBorders>
              <w:top w:color="000000" w:sz="4" w:val="single"/>
              <w:left w:color="000000" w:sz="4" w:val="single"/>
              <w:bottom w:color="000000" w:sz="4" w:val="single"/>
              <w:right w:color="000000" w:sz="4" w:val="single"/>
            </w:tcBorders>
          </w:tcPr>
          <w:p w14:paraId="17010000">
            <w:pPr>
              <w:rPr>
                <w:rFonts w:ascii="Times New Roman" w:hAnsi="Times New Roman"/>
                <w:sz w:val="16"/>
              </w:rPr>
            </w:pPr>
            <w:r>
              <w:rPr>
                <w:rFonts w:ascii="Times New Roman" w:hAnsi="Times New Roman"/>
                <w:sz w:val="16"/>
              </w:rPr>
              <w:t>ПК 1.3</w:t>
            </w:r>
          </w:p>
          <w:p w14:paraId="18010000">
            <w:pPr>
              <w:rPr>
                <w:rFonts w:ascii="Times New Roman" w:hAnsi="Times New Roman"/>
                <w:sz w:val="16"/>
              </w:rPr>
            </w:pPr>
            <w:r>
              <w:rPr>
                <w:rFonts w:ascii="Times New Roman" w:hAnsi="Times New Roman"/>
                <w:sz w:val="16"/>
              </w:rPr>
              <w:t>ПК 1.6</w:t>
            </w:r>
          </w:p>
        </w:tc>
        <w:tc>
          <w:tcPr>
            <w:tcW w:type="dxa" w:w="3834"/>
            <w:tcBorders>
              <w:top w:color="000000" w:sz="4" w:val="single"/>
              <w:left w:color="000000" w:sz="4" w:val="single"/>
              <w:bottom w:color="000000" w:sz="4" w:val="single"/>
              <w:right w:color="000000" w:sz="4" w:val="single"/>
            </w:tcBorders>
          </w:tcPr>
          <w:p w14:paraId="19010000">
            <w:pPr>
              <w:rPr>
                <w:rFonts w:ascii="Times New Roman" w:hAnsi="Times New Roman"/>
              </w:rPr>
            </w:pPr>
            <w:r>
              <w:rPr>
                <w:rFonts w:ascii="Times New Roman" w:hAnsi="Times New Roman"/>
              </w:rPr>
              <w:t xml:space="preserve">Раздел </w:t>
            </w:r>
            <w:r>
              <w:rPr>
                <w:rFonts w:ascii="Times New Roman" w:hAnsi="Times New Roman"/>
              </w:rPr>
              <w:t xml:space="preserve">2. </w:t>
            </w:r>
          </w:p>
          <w:p w14:paraId="1A010000">
            <w:pPr>
              <w:rPr>
                <w:rFonts w:ascii="Times New Roman" w:hAnsi="Times New Roman"/>
                <w:color w:val="000000"/>
              </w:rPr>
            </w:pPr>
            <w:r>
              <w:rPr>
                <w:rFonts w:ascii="Times New Roman" w:hAnsi="Times New Roman"/>
                <w:color w:val="000000"/>
              </w:rPr>
              <w:t>Организация расчетов с бюджетами бюджетной системы Российской Федерации</w:t>
            </w:r>
          </w:p>
          <w:p w14:paraId="1B010000">
            <w:pPr>
              <w:rPr>
                <w:rFonts w:ascii="Times New Roman" w:hAnsi="Times New Roman"/>
              </w:rPr>
            </w:pPr>
          </w:p>
        </w:tc>
        <w:tc>
          <w:tcPr>
            <w:tcW w:type="dxa" w:w="991"/>
            <w:tcBorders>
              <w:top w:color="000000" w:sz="4" w:val="single"/>
              <w:left w:color="000000" w:sz="4" w:val="single"/>
              <w:bottom w:color="000000" w:sz="4" w:val="single"/>
              <w:right w:color="000000" w:sz="4" w:val="single"/>
            </w:tcBorders>
          </w:tcPr>
          <w:p w14:paraId="1C010000">
            <w:pPr>
              <w:ind/>
              <w:jc w:val="center"/>
              <w:rPr>
                <w:rFonts w:ascii="Times New Roman" w:hAnsi="Times New Roman"/>
                <w:b w:val="1"/>
              </w:rPr>
            </w:pPr>
            <w:r>
              <w:rPr>
                <w:rFonts w:ascii="Times New Roman" w:hAnsi="Times New Roman"/>
                <w:b w:val="1"/>
              </w:rPr>
              <w:t>48</w:t>
            </w:r>
          </w:p>
        </w:tc>
        <w:tc>
          <w:tcPr>
            <w:tcW w:type="dxa" w:w="564"/>
            <w:tcBorders>
              <w:top w:color="000000" w:sz="4" w:val="single"/>
              <w:left w:color="000000" w:sz="4" w:val="single"/>
              <w:bottom w:color="000000" w:sz="4" w:val="single"/>
              <w:right w:color="000000" w:sz="4" w:val="single"/>
            </w:tcBorders>
          </w:tcPr>
          <w:p w14:paraId="1D010000">
            <w:pPr>
              <w:ind/>
              <w:jc w:val="center"/>
              <w:rPr>
                <w:rFonts w:ascii="Times New Roman" w:hAnsi="Times New Roman"/>
                <w:b w:val="1"/>
              </w:rPr>
            </w:pPr>
            <w:r>
              <w:rPr>
                <w:rFonts w:ascii="Times New Roman" w:hAnsi="Times New Roman"/>
                <w:b w:val="1"/>
              </w:rPr>
              <w:t>24</w:t>
            </w:r>
          </w:p>
        </w:tc>
        <w:tc>
          <w:tcPr>
            <w:tcW w:type="dxa" w:w="635"/>
            <w:tcBorders>
              <w:top w:color="000000" w:sz="4" w:val="single"/>
              <w:left w:color="000000" w:sz="4" w:val="single"/>
              <w:bottom w:color="000000" w:sz="4" w:val="single"/>
              <w:right w:color="000000" w:sz="4" w:val="single"/>
            </w:tcBorders>
            <w:shd w:themeFill="background1" w:themeFillShade="D9" w:val="clear"/>
          </w:tcPr>
          <w:p w14:paraId="1E010000">
            <w:pPr>
              <w:ind/>
              <w:jc w:val="center"/>
              <w:rPr>
                <w:rFonts w:ascii="Times New Roman" w:hAnsi="Times New Roman"/>
                <w:b w:val="1"/>
              </w:rPr>
            </w:pPr>
            <w:r>
              <w:rPr>
                <w:rFonts w:ascii="Times New Roman" w:hAnsi="Times New Roman"/>
                <w:b w:val="1"/>
              </w:rPr>
              <w:t>48</w:t>
            </w:r>
          </w:p>
        </w:tc>
        <w:tc>
          <w:tcPr>
            <w:tcW w:type="dxa" w:w="560"/>
            <w:tcBorders>
              <w:top w:color="000000" w:sz="4" w:val="single"/>
              <w:left w:color="000000" w:sz="4" w:val="single"/>
              <w:bottom w:color="000000" w:sz="4" w:val="single"/>
              <w:right w:color="000000" w:sz="4" w:val="single"/>
            </w:tcBorders>
          </w:tcPr>
          <w:p w14:paraId="1F010000">
            <w:pPr>
              <w:ind/>
              <w:jc w:val="center"/>
              <w:rPr>
                <w:rFonts w:ascii="Times New Roman" w:hAnsi="Times New Roman"/>
                <w:b w:val="1"/>
              </w:rPr>
            </w:pPr>
            <w:r>
              <w:rPr>
                <w:rFonts w:ascii="Times New Roman" w:hAnsi="Times New Roman"/>
              </w:rPr>
              <w:t>48</w:t>
            </w:r>
          </w:p>
        </w:tc>
        <w:tc>
          <w:tcPr>
            <w:tcW w:type="dxa" w:w="508"/>
            <w:tcBorders>
              <w:top w:color="000000" w:sz="4" w:val="single"/>
              <w:left w:color="000000" w:sz="4" w:val="single"/>
              <w:bottom w:color="000000" w:sz="4" w:val="single"/>
              <w:right w:color="000000" w:sz="4" w:val="single"/>
            </w:tcBorders>
          </w:tcPr>
          <w:p w14:paraId="20010000">
            <w:pPr>
              <w:ind/>
              <w:jc w:val="center"/>
              <w:rPr>
                <w:rFonts w:ascii="Times New Roman" w:hAnsi="Times New Roman"/>
                <w:b w:val="1"/>
              </w:rPr>
            </w:pPr>
            <w:r>
              <w:rPr>
                <w:rFonts w:ascii="Times New Roman" w:hAnsi="Times New Roman"/>
              </w:rPr>
              <w:t>х</w:t>
            </w:r>
          </w:p>
        </w:tc>
        <w:tc>
          <w:tcPr>
            <w:tcW w:type="dxa" w:w="481"/>
            <w:tcBorders>
              <w:top w:color="000000" w:sz="4" w:val="single"/>
              <w:left w:color="000000" w:sz="4" w:val="single"/>
              <w:bottom w:color="000000" w:sz="4" w:val="single"/>
              <w:right w:color="000000" w:sz="4" w:val="single"/>
            </w:tcBorders>
          </w:tcPr>
          <w:p w14:paraId="21010000">
            <w:pPr>
              <w:ind/>
              <w:jc w:val="center"/>
              <w:rPr>
                <w:rFonts w:ascii="Times New Roman" w:hAnsi="Times New Roman"/>
                <w:b w:val="1"/>
              </w:rPr>
            </w:pPr>
            <w:r>
              <w:rPr>
                <w:rFonts w:ascii="Times New Roman" w:hAnsi="Times New Roman"/>
                <w:b w:val="1"/>
              </w:rPr>
              <w:t>-</w:t>
            </w:r>
          </w:p>
        </w:tc>
        <w:tc>
          <w:tcPr>
            <w:tcW w:type="dxa" w:w="602"/>
            <w:tcBorders>
              <w:top w:color="000000" w:sz="4" w:val="single"/>
              <w:left w:color="000000" w:sz="4" w:val="single"/>
              <w:bottom w:color="000000" w:sz="4" w:val="single"/>
              <w:right w:color="000000" w:sz="4" w:val="single"/>
            </w:tcBorders>
            <w:shd w:themeFill="background1" w:themeFillShade="D9" w:val="clear"/>
          </w:tcPr>
          <w:p w14:paraId="22010000">
            <w:pPr>
              <w:ind/>
              <w:jc w:val="center"/>
              <w:rPr>
                <w:rFonts w:ascii="Times New Roman" w:hAnsi="Times New Roman"/>
                <w:b w:val="1"/>
              </w:rPr>
            </w:pPr>
          </w:p>
        </w:tc>
        <w:tc>
          <w:tcPr>
            <w:tcW w:type="dxa" w:w="569"/>
            <w:tcBorders>
              <w:top w:color="000000" w:sz="4" w:val="single"/>
              <w:left w:color="000000" w:sz="4" w:val="single"/>
              <w:bottom w:color="000000" w:sz="4" w:val="single"/>
              <w:right w:color="000000" w:sz="4" w:val="single"/>
            </w:tcBorders>
            <w:shd w:themeFill="background1" w:themeFillShade="D9" w:val="clear"/>
          </w:tcPr>
          <w:p w14:paraId="23010000">
            <w:pPr>
              <w:ind/>
              <w:jc w:val="center"/>
              <w:rPr>
                <w:rFonts w:ascii="Times New Roman" w:hAnsi="Times New Roman"/>
                <w:b w:val="1"/>
              </w:rPr>
            </w:pPr>
          </w:p>
        </w:tc>
      </w:tr>
      <w:tr>
        <w:trPr>
          <w:trHeight w:hRule="atLeast" w:val="314"/>
        </w:trPr>
        <w:tc>
          <w:tcPr>
            <w:tcW w:type="dxa" w:w="842"/>
            <w:vMerge w:val="restart"/>
            <w:tcBorders>
              <w:top w:color="000000" w:sz="4" w:val="single"/>
              <w:left w:color="000000" w:sz="4" w:val="single"/>
              <w:bottom w:color="000000" w:sz="4" w:val="single"/>
              <w:right w:color="000000" w:sz="4" w:val="single"/>
            </w:tcBorders>
          </w:tcPr>
          <w:p w14:paraId="24010000">
            <w:pPr>
              <w:rPr>
                <w:rFonts w:ascii="Times New Roman" w:hAnsi="Times New Roman"/>
                <w:sz w:val="16"/>
              </w:rPr>
            </w:pPr>
            <w:r>
              <w:rPr>
                <w:rFonts w:ascii="Times New Roman" w:hAnsi="Times New Roman"/>
                <w:sz w:val="16"/>
              </w:rPr>
              <w:t>ОК 0</w:t>
            </w:r>
            <w:r>
              <w:rPr>
                <w:rFonts w:ascii="Times New Roman" w:hAnsi="Times New Roman"/>
                <w:sz w:val="16"/>
              </w:rPr>
              <w:t>9</w:t>
            </w:r>
          </w:p>
          <w:p w14:paraId="25010000">
            <w:pPr>
              <w:rPr>
                <w:rFonts w:ascii="Times New Roman" w:hAnsi="Times New Roman"/>
                <w:sz w:val="16"/>
              </w:rPr>
            </w:pPr>
            <w:r>
              <w:rPr>
                <w:rFonts w:ascii="Times New Roman" w:hAnsi="Times New Roman"/>
                <w:sz w:val="16"/>
              </w:rPr>
              <w:t xml:space="preserve">ПК 1.1 ПК 1.2 </w:t>
            </w:r>
          </w:p>
          <w:p w14:paraId="26010000">
            <w:pPr>
              <w:rPr>
                <w:rFonts w:ascii="Times New Roman" w:hAnsi="Times New Roman"/>
              </w:rPr>
            </w:pPr>
            <w:r>
              <w:rPr>
                <w:rFonts w:ascii="Times New Roman" w:hAnsi="Times New Roman"/>
                <w:sz w:val="16"/>
              </w:rPr>
              <w:t xml:space="preserve">ПК 1.3 </w:t>
            </w:r>
            <w:r>
              <w:rPr>
                <w:rFonts w:ascii="Times New Roman" w:hAnsi="Times New Roman"/>
                <w:sz w:val="16"/>
              </w:rPr>
              <w:t>ПК 1.4 ПК 1.5</w:t>
            </w:r>
          </w:p>
        </w:tc>
        <w:tc>
          <w:tcPr>
            <w:tcW w:type="dxa" w:w="3834"/>
            <w:tcBorders>
              <w:top w:color="000000" w:sz="4" w:val="single"/>
              <w:left w:color="000000" w:sz="4" w:val="single"/>
              <w:bottom w:color="000000" w:sz="4" w:val="single"/>
              <w:right w:color="000000" w:sz="4" w:val="single"/>
            </w:tcBorders>
          </w:tcPr>
          <w:p w14:paraId="27010000">
            <w:pPr>
              <w:rPr>
                <w:rFonts w:ascii="Times New Roman" w:hAnsi="Times New Roman"/>
              </w:rPr>
            </w:pPr>
            <w:r>
              <w:rPr>
                <w:rFonts w:ascii="Times New Roman" w:hAnsi="Times New Roman"/>
              </w:rPr>
              <w:t>Учебная практика</w:t>
            </w:r>
          </w:p>
        </w:tc>
        <w:tc>
          <w:tcPr>
            <w:tcW w:type="dxa" w:w="991"/>
            <w:tcBorders>
              <w:top w:color="000000" w:sz="4" w:val="single"/>
              <w:left w:color="000000" w:sz="4" w:val="single"/>
              <w:bottom w:color="000000" w:sz="4" w:val="single"/>
              <w:right w:color="000000" w:sz="4" w:val="single"/>
            </w:tcBorders>
          </w:tcPr>
          <w:p w14:paraId="28010000">
            <w:pPr>
              <w:ind/>
              <w:jc w:val="center"/>
              <w:rPr>
                <w:rFonts w:ascii="Times New Roman" w:hAnsi="Times New Roman"/>
                <w:b w:val="1"/>
              </w:rPr>
            </w:pPr>
            <w:r>
              <w:rPr>
                <w:rFonts w:ascii="Times New Roman" w:hAnsi="Times New Roman"/>
                <w:b w:val="1"/>
              </w:rPr>
              <w:t>72</w:t>
            </w:r>
          </w:p>
        </w:tc>
        <w:tc>
          <w:tcPr>
            <w:tcW w:type="dxa" w:w="564"/>
            <w:tcBorders>
              <w:top w:color="000000" w:sz="4" w:val="single"/>
              <w:left w:color="000000" w:sz="4" w:val="single"/>
              <w:bottom w:color="000000" w:sz="4" w:val="single"/>
              <w:right w:color="000000" w:sz="4" w:val="single"/>
            </w:tcBorders>
          </w:tcPr>
          <w:p w14:paraId="29010000">
            <w:pPr>
              <w:ind/>
              <w:jc w:val="center"/>
              <w:rPr>
                <w:rFonts w:ascii="Times New Roman" w:hAnsi="Times New Roman"/>
                <w:b w:val="1"/>
              </w:rPr>
            </w:pPr>
            <w:r>
              <w:rPr>
                <w:rFonts w:ascii="Times New Roman" w:hAnsi="Times New Roman"/>
                <w:b w:val="1"/>
              </w:rPr>
              <w:t>72</w:t>
            </w:r>
          </w:p>
        </w:tc>
        <w:tc>
          <w:tcPr>
            <w:tcW w:type="dxa" w:w="635"/>
            <w:tcBorders>
              <w:top w:color="000000" w:sz="4" w:val="single"/>
              <w:left w:color="000000" w:sz="4" w:val="single"/>
              <w:bottom w:color="000000" w:sz="4" w:val="single"/>
              <w:right w:color="000000" w:sz="4" w:val="single"/>
            </w:tcBorders>
            <w:shd w:themeFill="background1" w:themeFillShade="D9" w:val="clear"/>
          </w:tcPr>
          <w:p w14:paraId="2A010000">
            <w:pPr>
              <w:ind/>
              <w:jc w:val="center"/>
              <w:rPr>
                <w:rFonts w:ascii="Times New Roman" w:hAnsi="Times New Roman"/>
                <w:b w:val="1"/>
              </w:rPr>
            </w:pPr>
          </w:p>
        </w:tc>
        <w:tc>
          <w:tcPr>
            <w:tcW w:type="dxa" w:w="1549"/>
            <w:gridSpan w:val="3"/>
            <w:tcBorders>
              <w:top w:color="000000" w:sz="4" w:val="single"/>
              <w:left w:color="000000" w:sz="4" w:val="single"/>
              <w:bottom w:color="000000" w:sz="4" w:val="single"/>
              <w:right w:color="000000" w:sz="4" w:val="single"/>
            </w:tcBorders>
            <w:shd w:fill="auto" w:val="clear"/>
          </w:tcPr>
          <w:p w14:paraId="2B010000">
            <w:pPr>
              <w:ind/>
              <w:jc w:val="center"/>
              <w:rPr>
                <w:rFonts w:ascii="Times New Roman" w:hAnsi="Times New Roman"/>
                <w:b w:val="1"/>
              </w:rPr>
            </w:pPr>
          </w:p>
        </w:tc>
        <w:tc>
          <w:tcPr>
            <w:tcW w:type="dxa" w:w="602"/>
            <w:tcBorders>
              <w:top w:color="000000" w:sz="4" w:val="single"/>
              <w:left w:color="000000" w:sz="4" w:val="single"/>
              <w:bottom w:color="000000" w:sz="4" w:val="single"/>
              <w:right w:color="000000" w:sz="4" w:val="single"/>
            </w:tcBorders>
            <w:shd w:themeFill="background1" w:themeFillShade="D9" w:val="clear"/>
          </w:tcPr>
          <w:p w14:paraId="2C010000">
            <w:pPr>
              <w:ind/>
              <w:jc w:val="center"/>
              <w:rPr>
                <w:rFonts w:ascii="Times New Roman" w:hAnsi="Times New Roman"/>
                <w:b w:val="1"/>
              </w:rPr>
            </w:pPr>
            <w:r>
              <w:rPr>
                <w:rFonts w:ascii="Times New Roman" w:hAnsi="Times New Roman"/>
                <w:b w:val="1"/>
              </w:rPr>
              <w:t>72</w:t>
            </w:r>
          </w:p>
        </w:tc>
        <w:tc>
          <w:tcPr>
            <w:tcW w:type="dxa" w:w="569"/>
            <w:tcBorders>
              <w:top w:color="000000" w:sz="4" w:val="single"/>
              <w:left w:color="000000" w:sz="4" w:val="single"/>
              <w:bottom w:color="000000" w:sz="4" w:val="single"/>
              <w:right w:color="000000" w:sz="4" w:val="single"/>
            </w:tcBorders>
            <w:shd w:themeFill="background1" w:themeFillShade="D9" w:val="clear"/>
          </w:tcPr>
          <w:p w14:paraId="2D010000">
            <w:pPr>
              <w:ind/>
              <w:jc w:val="center"/>
              <w:rPr>
                <w:rFonts w:ascii="Times New Roman" w:hAnsi="Times New Roman"/>
                <w:b w:val="1"/>
              </w:rPr>
            </w:pPr>
          </w:p>
        </w:tc>
      </w:tr>
      <w:tr>
        <w:trPr>
          <w:trHeight w:hRule="atLeast" w:val="314"/>
        </w:trPr>
        <w:tc>
          <w:tcPr>
            <w:tcW w:type="dxa" w:w="842"/>
            <w:gridSpan w:val="1"/>
            <w:vMerge w:val="continue"/>
            <w:tcBorders>
              <w:top w:color="000000" w:sz="4" w:val="single"/>
              <w:left w:color="000000" w:sz="4" w:val="single"/>
              <w:bottom w:color="000000" w:sz="4" w:val="single"/>
              <w:right w:color="000000" w:sz="4" w:val="single"/>
            </w:tcBorders>
          </w:tcPr>
          <w:p/>
        </w:tc>
        <w:tc>
          <w:tcPr>
            <w:tcW w:type="dxa" w:w="3834"/>
            <w:tcBorders>
              <w:top w:color="000000" w:sz="4" w:val="single"/>
              <w:left w:color="000000" w:sz="4" w:val="single"/>
              <w:bottom w:color="000000" w:sz="4" w:val="single"/>
              <w:right w:color="000000" w:sz="4" w:val="single"/>
            </w:tcBorders>
          </w:tcPr>
          <w:p w14:paraId="2E010000">
            <w:pPr>
              <w:rPr>
                <w:rFonts w:ascii="Times New Roman" w:hAnsi="Times New Roman"/>
                <w:b w:val="1"/>
                <w:u w:val="single"/>
              </w:rPr>
            </w:pPr>
            <w:r>
              <w:rPr>
                <w:rFonts w:ascii="Times New Roman" w:hAnsi="Times New Roman"/>
              </w:rPr>
              <w:t>Производственная практика</w:t>
            </w:r>
          </w:p>
        </w:tc>
        <w:tc>
          <w:tcPr>
            <w:tcW w:type="dxa" w:w="991"/>
            <w:tcBorders>
              <w:top w:color="000000" w:sz="4" w:val="single"/>
              <w:left w:color="000000" w:sz="4" w:val="single"/>
              <w:bottom w:color="000000" w:sz="4" w:val="single"/>
              <w:right w:color="000000" w:sz="4" w:val="single"/>
            </w:tcBorders>
          </w:tcPr>
          <w:p w14:paraId="2F010000">
            <w:pPr>
              <w:ind/>
              <w:jc w:val="center"/>
              <w:rPr>
                <w:rFonts w:ascii="Times New Roman" w:hAnsi="Times New Roman"/>
                <w:b w:val="1"/>
              </w:rPr>
            </w:pPr>
            <w:r>
              <w:rPr>
                <w:rFonts w:ascii="Times New Roman" w:hAnsi="Times New Roman"/>
                <w:b w:val="1"/>
              </w:rPr>
              <w:t>144</w:t>
            </w:r>
          </w:p>
        </w:tc>
        <w:tc>
          <w:tcPr>
            <w:tcW w:type="dxa" w:w="564"/>
            <w:tcBorders>
              <w:top w:color="000000" w:sz="4" w:val="single"/>
              <w:left w:color="000000" w:sz="4" w:val="single"/>
              <w:bottom w:color="000000" w:sz="4" w:val="single"/>
              <w:right w:color="000000" w:sz="4" w:val="single"/>
            </w:tcBorders>
          </w:tcPr>
          <w:p w14:paraId="30010000">
            <w:pPr>
              <w:ind/>
              <w:jc w:val="center"/>
              <w:rPr>
                <w:rFonts w:ascii="Times New Roman" w:hAnsi="Times New Roman"/>
                <w:b w:val="1"/>
              </w:rPr>
            </w:pPr>
            <w:r>
              <w:rPr>
                <w:rFonts w:ascii="Times New Roman" w:hAnsi="Times New Roman"/>
                <w:b w:val="1"/>
              </w:rPr>
              <w:t>144</w:t>
            </w:r>
          </w:p>
        </w:tc>
        <w:tc>
          <w:tcPr>
            <w:tcW w:type="dxa" w:w="635"/>
            <w:tcBorders>
              <w:top w:color="000000" w:sz="4" w:val="single"/>
              <w:left w:color="000000" w:sz="4" w:val="single"/>
              <w:bottom w:color="000000" w:sz="4" w:val="single"/>
              <w:right w:color="000000" w:sz="4" w:val="single"/>
            </w:tcBorders>
            <w:shd w:themeFill="background1" w:themeFillShade="D9" w:val="clear"/>
          </w:tcPr>
          <w:p w14:paraId="31010000">
            <w:pPr>
              <w:ind/>
              <w:jc w:val="center"/>
              <w:rPr>
                <w:rFonts w:ascii="Times New Roman" w:hAnsi="Times New Roman"/>
                <w:b w:val="1"/>
              </w:rPr>
            </w:pPr>
          </w:p>
        </w:tc>
        <w:tc>
          <w:tcPr>
            <w:tcW w:type="dxa" w:w="1549"/>
            <w:gridSpan w:val="3"/>
            <w:tcBorders>
              <w:top w:color="000000" w:sz="4" w:val="single"/>
              <w:left w:color="000000" w:sz="4" w:val="single"/>
              <w:bottom w:color="000000" w:sz="4" w:val="single"/>
              <w:right w:color="000000" w:sz="4" w:val="single"/>
            </w:tcBorders>
            <w:shd w:fill="auto" w:val="clear"/>
          </w:tcPr>
          <w:p w14:paraId="32010000">
            <w:pPr>
              <w:ind/>
              <w:jc w:val="center"/>
              <w:rPr>
                <w:rFonts w:ascii="Times New Roman" w:hAnsi="Times New Roman"/>
                <w:b w:val="1"/>
              </w:rPr>
            </w:pPr>
          </w:p>
        </w:tc>
        <w:tc>
          <w:tcPr>
            <w:tcW w:type="dxa" w:w="602"/>
            <w:tcBorders>
              <w:top w:color="000000" w:sz="4" w:val="single"/>
              <w:left w:color="000000" w:sz="4" w:val="single"/>
              <w:bottom w:color="000000" w:sz="4" w:val="single"/>
              <w:right w:color="000000" w:sz="4" w:val="single"/>
            </w:tcBorders>
            <w:shd w:themeFill="background1" w:themeFillShade="D9" w:val="clear"/>
          </w:tcPr>
          <w:p w14:paraId="33010000">
            <w:pPr>
              <w:ind/>
              <w:jc w:val="center"/>
              <w:rPr>
                <w:rFonts w:ascii="Times New Roman" w:hAnsi="Times New Roman"/>
                <w:b w:val="1"/>
              </w:rPr>
            </w:pPr>
          </w:p>
        </w:tc>
        <w:tc>
          <w:tcPr>
            <w:tcW w:type="dxa" w:w="569"/>
            <w:tcBorders>
              <w:top w:color="000000" w:sz="4" w:val="single"/>
              <w:left w:color="000000" w:sz="4" w:val="single"/>
              <w:bottom w:color="000000" w:sz="4" w:val="single"/>
              <w:right w:color="000000" w:sz="4" w:val="single"/>
            </w:tcBorders>
            <w:shd w:themeFill="background1" w:themeFillShade="D9" w:val="clear"/>
          </w:tcPr>
          <w:p w14:paraId="34010000">
            <w:pPr>
              <w:ind/>
              <w:jc w:val="center"/>
              <w:rPr>
                <w:rFonts w:ascii="Times New Roman" w:hAnsi="Times New Roman"/>
                <w:b w:val="1"/>
              </w:rPr>
            </w:pPr>
            <w:r>
              <w:rPr>
                <w:rFonts w:ascii="Times New Roman" w:hAnsi="Times New Roman"/>
                <w:b w:val="1"/>
              </w:rPr>
              <w:t>144</w:t>
            </w:r>
          </w:p>
        </w:tc>
      </w:tr>
      <w:tr>
        <w:tc>
          <w:tcPr>
            <w:tcW w:type="dxa" w:w="842"/>
            <w:tcBorders>
              <w:top w:color="000000" w:sz="4" w:val="single"/>
              <w:left w:color="000000" w:sz="4" w:val="single"/>
              <w:bottom w:color="000000" w:sz="4" w:val="single"/>
              <w:right w:color="000000" w:sz="4" w:val="single"/>
            </w:tcBorders>
          </w:tcPr>
          <w:p w14:paraId="35010000">
            <w:pPr>
              <w:rPr>
                <w:rFonts w:ascii="Times New Roman" w:hAnsi="Times New Roman"/>
              </w:rPr>
            </w:pPr>
          </w:p>
        </w:tc>
        <w:tc>
          <w:tcPr>
            <w:tcW w:type="dxa" w:w="3834"/>
            <w:tcBorders>
              <w:top w:color="000000" w:sz="4" w:val="single"/>
              <w:left w:color="000000" w:sz="4" w:val="single"/>
              <w:bottom w:color="000000" w:sz="4" w:val="single"/>
              <w:right w:color="000000" w:sz="4" w:val="single"/>
            </w:tcBorders>
          </w:tcPr>
          <w:p w14:paraId="36010000">
            <w:pPr>
              <w:rPr>
                <w:rFonts w:ascii="Times New Roman" w:hAnsi="Times New Roman"/>
              </w:rPr>
            </w:pPr>
            <w:r>
              <w:rPr>
                <w:rFonts w:ascii="Times New Roman" w:hAnsi="Times New Roman"/>
              </w:rPr>
              <w:t>Промежуточная аттестация</w:t>
            </w:r>
          </w:p>
        </w:tc>
        <w:tc>
          <w:tcPr>
            <w:tcW w:type="dxa" w:w="991"/>
            <w:tcBorders>
              <w:top w:color="000000" w:sz="4" w:val="single"/>
              <w:left w:color="000000" w:sz="4" w:val="single"/>
              <w:bottom w:color="000000" w:sz="4" w:val="single"/>
              <w:right w:color="000000" w:sz="4" w:val="single"/>
            </w:tcBorders>
          </w:tcPr>
          <w:p w14:paraId="37010000">
            <w:pPr>
              <w:ind/>
              <w:jc w:val="center"/>
              <w:rPr>
                <w:rFonts w:ascii="Times New Roman" w:hAnsi="Times New Roman"/>
                <w:b w:val="1"/>
              </w:rPr>
            </w:pPr>
            <w:r>
              <w:rPr>
                <w:rFonts w:ascii="Times New Roman" w:hAnsi="Times New Roman"/>
                <w:b w:val="1"/>
              </w:rPr>
              <w:t>Х</w:t>
            </w:r>
          </w:p>
        </w:tc>
        <w:tc>
          <w:tcPr>
            <w:tcW w:type="dxa" w:w="564"/>
            <w:tcBorders>
              <w:top w:color="000000" w:sz="4" w:val="single"/>
              <w:left w:color="000000" w:sz="4" w:val="single"/>
              <w:bottom w:color="000000" w:sz="4" w:val="single"/>
              <w:right w:color="000000" w:sz="4" w:val="single"/>
            </w:tcBorders>
            <w:shd w:fill="auto" w:val="clear"/>
          </w:tcPr>
          <w:p w14:paraId="38010000">
            <w:pPr>
              <w:ind/>
              <w:jc w:val="center"/>
              <w:rPr>
                <w:rFonts w:ascii="Times New Roman" w:hAnsi="Times New Roman"/>
                <w:b w:val="1"/>
              </w:rPr>
            </w:pPr>
          </w:p>
        </w:tc>
        <w:tc>
          <w:tcPr>
            <w:tcW w:type="dxa" w:w="635"/>
            <w:tcBorders>
              <w:top w:color="000000" w:sz="4" w:val="single"/>
              <w:left w:color="000000" w:sz="4" w:val="single"/>
              <w:bottom w:color="000000" w:sz="4" w:val="single"/>
              <w:right w:color="000000" w:sz="4" w:val="single"/>
            </w:tcBorders>
            <w:shd w:themeFill="background1" w:themeFillShade="D9" w:val="clear"/>
          </w:tcPr>
          <w:p w14:paraId="39010000">
            <w:pPr>
              <w:ind/>
              <w:jc w:val="center"/>
              <w:rPr>
                <w:rFonts w:ascii="Times New Roman" w:hAnsi="Times New Roman"/>
                <w:i w:val="1"/>
              </w:rPr>
            </w:pPr>
          </w:p>
        </w:tc>
        <w:tc>
          <w:tcPr>
            <w:tcW w:type="dxa" w:w="1549"/>
            <w:gridSpan w:val="3"/>
            <w:tcBorders>
              <w:top w:color="000000" w:sz="4" w:val="single"/>
              <w:left w:color="000000" w:sz="4" w:val="single"/>
              <w:bottom w:color="000000" w:sz="4" w:val="single"/>
              <w:right w:color="000000" w:sz="4" w:val="single"/>
            </w:tcBorders>
            <w:shd w:fill="auto" w:val="clear"/>
          </w:tcPr>
          <w:p w14:paraId="3A010000">
            <w:pPr>
              <w:ind/>
              <w:jc w:val="center"/>
              <w:rPr>
                <w:rFonts w:ascii="Times New Roman" w:hAnsi="Times New Roman"/>
                <w:i w:val="1"/>
              </w:rPr>
            </w:pPr>
          </w:p>
        </w:tc>
        <w:tc>
          <w:tcPr>
            <w:tcW w:type="dxa" w:w="602"/>
            <w:tcBorders>
              <w:top w:color="000000" w:sz="4" w:val="single"/>
              <w:left w:color="000000" w:sz="4" w:val="single"/>
              <w:bottom w:color="000000" w:sz="4" w:val="single"/>
              <w:right w:color="000000" w:sz="4" w:val="single"/>
            </w:tcBorders>
            <w:shd w:themeFill="background1" w:themeFillShade="D9" w:val="clear"/>
          </w:tcPr>
          <w:p w14:paraId="3B010000">
            <w:pPr>
              <w:ind/>
              <w:jc w:val="center"/>
              <w:rPr>
                <w:rFonts w:ascii="Times New Roman" w:hAnsi="Times New Roman"/>
                <w:i w:val="1"/>
              </w:rPr>
            </w:pPr>
          </w:p>
        </w:tc>
        <w:tc>
          <w:tcPr>
            <w:tcW w:type="dxa" w:w="569"/>
            <w:tcBorders>
              <w:top w:color="000000" w:sz="4" w:val="single"/>
              <w:left w:color="000000" w:sz="4" w:val="single"/>
              <w:bottom w:color="000000" w:sz="4" w:val="single"/>
              <w:right w:color="000000" w:sz="4" w:val="single"/>
            </w:tcBorders>
            <w:shd w:themeFill="background1" w:themeFillShade="D9" w:val="clear"/>
          </w:tcPr>
          <w:p w14:paraId="3C010000">
            <w:pPr>
              <w:ind/>
              <w:jc w:val="center"/>
              <w:rPr>
                <w:rFonts w:ascii="Times New Roman" w:hAnsi="Times New Roman"/>
                <w:i w:val="1"/>
              </w:rPr>
            </w:pPr>
          </w:p>
        </w:tc>
      </w:tr>
      <w:tr>
        <w:trPr>
          <w:trHeight w:hRule="atLeast" w:val="217"/>
        </w:trPr>
        <w:tc>
          <w:tcPr>
            <w:tcW w:type="dxa" w:w="842"/>
            <w:tcBorders>
              <w:top w:color="000000" w:sz="4" w:val="single"/>
              <w:left w:color="000000" w:sz="4" w:val="single"/>
              <w:bottom w:color="000000" w:sz="4" w:val="single"/>
              <w:right w:color="000000" w:sz="4" w:val="single"/>
            </w:tcBorders>
          </w:tcPr>
          <w:p w14:paraId="3D010000">
            <w:pPr>
              <w:rPr>
                <w:rFonts w:ascii="Times New Roman" w:hAnsi="Times New Roman"/>
                <w:b w:val="1"/>
                <w:i w:val="1"/>
              </w:rPr>
            </w:pPr>
          </w:p>
        </w:tc>
        <w:tc>
          <w:tcPr>
            <w:tcW w:type="dxa" w:w="3834"/>
            <w:tcBorders>
              <w:top w:color="000000" w:sz="4" w:val="single"/>
              <w:left w:color="000000" w:sz="4" w:val="single"/>
              <w:bottom w:color="000000" w:sz="4" w:val="single"/>
              <w:right w:color="000000" w:sz="4" w:val="single"/>
            </w:tcBorders>
          </w:tcPr>
          <w:p w14:paraId="3E010000">
            <w:pPr>
              <w:rPr>
                <w:rFonts w:ascii="Times New Roman" w:hAnsi="Times New Roman"/>
                <w:b w:val="1"/>
                <w:i w:val="1"/>
              </w:rPr>
            </w:pPr>
            <w:r>
              <w:rPr>
                <w:rFonts w:ascii="Times New Roman" w:hAnsi="Times New Roman"/>
                <w:b w:val="1"/>
                <w:i w:val="1"/>
              </w:rPr>
              <w:t xml:space="preserve">Всего: </w:t>
            </w:r>
          </w:p>
        </w:tc>
        <w:tc>
          <w:tcPr>
            <w:tcW w:type="dxa" w:w="991"/>
            <w:tcBorders>
              <w:top w:color="000000" w:sz="4" w:val="single"/>
              <w:left w:color="000000" w:sz="4" w:val="single"/>
              <w:bottom w:color="000000" w:sz="4" w:val="single"/>
              <w:right w:color="000000" w:sz="4" w:val="single"/>
            </w:tcBorders>
          </w:tcPr>
          <w:p w14:paraId="3F010000">
            <w:pPr>
              <w:ind/>
              <w:jc w:val="center"/>
              <w:rPr>
                <w:rFonts w:ascii="Times New Roman" w:hAnsi="Times New Roman"/>
                <w:b w:val="1"/>
                <w:i w:val="1"/>
              </w:rPr>
            </w:pPr>
            <w:r>
              <w:rPr>
                <w:rFonts w:ascii="Times New Roman" w:hAnsi="Times New Roman"/>
                <w:b w:val="1"/>
                <w:i w:val="1"/>
              </w:rPr>
              <w:t>440</w:t>
            </w:r>
          </w:p>
        </w:tc>
        <w:tc>
          <w:tcPr>
            <w:tcW w:type="dxa" w:w="564"/>
            <w:tcBorders>
              <w:top w:color="000000" w:sz="4" w:val="single"/>
              <w:left w:color="000000" w:sz="4" w:val="single"/>
              <w:bottom w:color="000000" w:sz="4" w:val="single"/>
              <w:right w:color="000000" w:sz="4" w:val="single"/>
            </w:tcBorders>
          </w:tcPr>
          <w:p w14:paraId="40010000">
            <w:pPr>
              <w:ind/>
              <w:jc w:val="center"/>
              <w:rPr>
                <w:rFonts w:ascii="Times New Roman" w:hAnsi="Times New Roman"/>
                <w:b w:val="1"/>
              </w:rPr>
            </w:pPr>
            <w:r>
              <w:rPr>
                <w:rFonts w:ascii="Times New Roman" w:hAnsi="Times New Roman"/>
                <w:b w:val="1"/>
              </w:rPr>
              <w:t>348</w:t>
            </w:r>
          </w:p>
        </w:tc>
        <w:tc>
          <w:tcPr>
            <w:tcW w:type="dxa" w:w="635"/>
            <w:tcBorders>
              <w:top w:color="000000" w:sz="4" w:val="single"/>
              <w:left w:color="000000" w:sz="4" w:val="single"/>
              <w:bottom w:color="000000" w:sz="4" w:val="single"/>
              <w:right w:color="000000" w:sz="4" w:val="single"/>
            </w:tcBorders>
            <w:shd w:themeFill="background1" w:themeFillShade="D9" w:val="clear"/>
          </w:tcPr>
          <w:p w14:paraId="41010000">
            <w:pPr>
              <w:ind/>
              <w:jc w:val="center"/>
              <w:rPr>
                <w:rFonts w:ascii="Times New Roman" w:hAnsi="Times New Roman"/>
                <w:b w:val="1"/>
                <w:i w:val="1"/>
              </w:rPr>
            </w:pPr>
          </w:p>
        </w:tc>
        <w:tc>
          <w:tcPr>
            <w:tcW w:type="dxa" w:w="560"/>
            <w:tcBorders>
              <w:top w:color="000000" w:sz="4" w:val="single"/>
              <w:left w:color="000000" w:sz="4" w:val="single"/>
              <w:bottom w:color="000000" w:sz="4" w:val="single"/>
              <w:right w:color="000000" w:sz="4" w:val="single"/>
            </w:tcBorders>
          </w:tcPr>
          <w:p w14:paraId="42010000">
            <w:pPr>
              <w:ind/>
              <w:jc w:val="center"/>
              <w:rPr>
                <w:rFonts w:ascii="Times New Roman" w:hAnsi="Times New Roman"/>
                <w:b w:val="1"/>
                <w:i w:val="1"/>
              </w:rPr>
            </w:pPr>
            <w:r>
              <w:rPr>
                <w:rFonts w:ascii="Times New Roman" w:hAnsi="Times New Roman"/>
                <w:b w:val="1"/>
                <w:i w:val="1"/>
              </w:rPr>
              <w:t>204</w:t>
            </w:r>
          </w:p>
        </w:tc>
        <w:tc>
          <w:tcPr>
            <w:tcW w:type="dxa" w:w="508"/>
            <w:tcBorders>
              <w:top w:color="000000" w:sz="4" w:val="single"/>
              <w:left w:color="000000" w:sz="4" w:val="single"/>
              <w:bottom w:color="000000" w:sz="4" w:val="single"/>
              <w:right w:color="000000" w:sz="4" w:val="single"/>
            </w:tcBorders>
          </w:tcPr>
          <w:p w14:paraId="43010000">
            <w:pPr>
              <w:ind/>
              <w:jc w:val="center"/>
              <w:rPr>
                <w:rFonts w:ascii="Times New Roman" w:hAnsi="Times New Roman"/>
                <w:b w:val="1"/>
                <w:i w:val="1"/>
              </w:rPr>
            </w:pPr>
            <w:r>
              <w:rPr>
                <w:rFonts w:ascii="Times New Roman" w:hAnsi="Times New Roman"/>
                <w:b w:val="1"/>
                <w:i w:val="1"/>
              </w:rPr>
              <w:t>20</w:t>
            </w:r>
          </w:p>
        </w:tc>
        <w:tc>
          <w:tcPr>
            <w:tcW w:type="dxa" w:w="481"/>
            <w:tcBorders>
              <w:top w:color="000000" w:sz="4" w:val="single"/>
              <w:left w:color="000000" w:sz="4" w:val="single"/>
              <w:bottom w:color="000000" w:sz="4" w:val="single"/>
              <w:right w:color="000000" w:sz="4" w:val="single"/>
            </w:tcBorders>
          </w:tcPr>
          <w:p w14:paraId="44010000">
            <w:pPr>
              <w:ind/>
              <w:jc w:val="center"/>
              <w:rPr>
                <w:rFonts w:ascii="Times New Roman" w:hAnsi="Times New Roman"/>
                <w:b w:val="1"/>
                <w:i w:val="1"/>
              </w:rPr>
            </w:pPr>
            <w:r>
              <w:rPr>
                <w:rFonts w:ascii="Times New Roman" w:hAnsi="Times New Roman"/>
                <w:b w:val="1"/>
                <w:i w:val="1"/>
              </w:rPr>
              <w:t>Х</w:t>
            </w:r>
          </w:p>
        </w:tc>
        <w:tc>
          <w:tcPr>
            <w:tcW w:type="dxa" w:w="602"/>
            <w:tcBorders>
              <w:top w:color="000000" w:sz="4" w:val="single"/>
              <w:left w:color="000000" w:sz="4" w:val="single"/>
              <w:bottom w:color="000000" w:sz="4" w:val="single"/>
              <w:right w:color="000000" w:sz="4" w:val="single"/>
            </w:tcBorders>
            <w:shd w:themeFill="background1" w:themeFillShade="D9" w:val="clear"/>
          </w:tcPr>
          <w:p w14:paraId="45010000">
            <w:pPr>
              <w:ind/>
              <w:jc w:val="center"/>
              <w:rPr>
                <w:rFonts w:ascii="Times New Roman" w:hAnsi="Times New Roman"/>
                <w:b w:val="1"/>
              </w:rPr>
            </w:pPr>
            <w:r>
              <w:rPr>
                <w:rFonts w:ascii="Times New Roman" w:hAnsi="Times New Roman"/>
                <w:b w:val="1"/>
              </w:rPr>
              <w:t>72</w:t>
            </w:r>
          </w:p>
        </w:tc>
        <w:tc>
          <w:tcPr>
            <w:tcW w:type="dxa" w:w="569"/>
            <w:tcBorders>
              <w:top w:color="000000" w:sz="4" w:val="single"/>
              <w:left w:color="000000" w:sz="4" w:val="single"/>
              <w:bottom w:color="000000" w:sz="4" w:val="single"/>
              <w:right w:color="000000" w:sz="4" w:val="single"/>
            </w:tcBorders>
            <w:shd w:themeFill="background1" w:themeFillShade="D9" w:val="clear"/>
          </w:tcPr>
          <w:p w14:paraId="46010000">
            <w:pPr>
              <w:ind/>
              <w:jc w:val="center"/>
              <w:rPr>
                <w:rFonts w:ascii="Times New Roman" w:hAnsi="Times New Roman"/>
                <w:b w:val="1"/>
              </w:rPr>
            </w:pPr>
            <w:r>
              <w:rPr>
                <w:rFonts w:ascii="Times New Roman" w:hAnsi="Times New Roman"/>
                <w:b w:val="1"/>
              </w:rPr>
              <w:t>144</w:t>
            </w:r>
          </w:p>
        </w:tc>
      </w:tr>
    </w:tbl>
    <w:p w14:paraId="47010000">
      <w:pPr>
        <w:spacing w:after="200" w:line="276" w:lineRule="auto"/>
        <w:ind/>
        <w:rPr>
          <w:rFonts w:ascii="Times New Roman" w:hAnsi="Times New Roman"/>
          <w:b w:val="1"/>
          <w:i w:val="1"/>
          <w:color w:val="0070C0"/>
          <w:sz w:val="24"/>
        </w:rPr>
      </w:pPr>
    </w:p>
    <w:p w14:paraId="48010000">
      <w:bookmarkStart w:id="14" w:name="__RefHeading___7"/>
      <w:bookmarkEnd w:id="14"/>
      <w:bookmarkStart w:id="15" w:name="__RefHeading___30"/>
      <w:bookmarkEnd w:id="15"/>
      <w:pPr>
        <w:pStyle w:val="Style_7"/>
        <w:rPr>
          <w:rFonts w:ascii="Times New Roman" w:hAnsi="Times New Roman"/>
        </w:rPr>
      </w:pPr>
      <w:r>
        <w:rPr>
          <w:rFonts w:ascii="Times New Roman" w:hAnsi="Times New Roman"/>
        </w:rPr>
        <w:t>2.</w:t>
      </w:r>
      <w:r>
        <w:rPr>
          <w:rFonts w:ascii="Times New Roman" w:hAnsi="Times New Roman"/>
        </w:rPr>
        <w:t>3</w:t>
      </w:r>
      <w:r>
        <w:rPr>
          <w:rFonts w:ascii="Times New Roman" w:hAnsi="Times New Roman"/>
        </w:rPr>
        <w:t>. </w:t>
      </w:r>
      <w:r>
        <w:rPr>
          <w:rFonts w:ascii="Times New Roman" w:hAnsi="Times New Roman"/>
        </w:rPr>
        <w:t>Примерн</w:t>
      </w:r>
      <w:r>
        <w:rPr>
          <w:rFonts w:ascii="Times New Roman" w:hAnsi="Times New Roman"/>
        </w:rPr>
        <w:t>о</w:t>
      </w:r>
      <w:r>
        <w:rPr>
          <w:rFonts w:ascii="Times New Roman" w:hAnsi="Times New Roman"/>
        </w:rPr>
        <w:t xml:space="preserve">е </w:t>
      </w:r>
      <w:r>
        <w:rPr>
          <w:rFonts w:ascii="Times New Roman" w:hAnsi="Times New Roman"/>
        </w:rPr>
        <w:t xml:space="preserve">содержание </w:t>
      </w:r>
      <w:r>
        <w:rPr>
          <w:rFonts w:ascii="Times New Roman" w:hAnsi="Times New Roman"/>
        </w:rPr>
        <w:t>профессионального модуля</w:t>
      </w:r>
    </w:p>
    <w:tbl>
      <w:tblPr>
        <w:tblStyle w:val="Style_10"/>
        <w:tblW w:type="auto" w:w="0"/>
        <w:tblLayout w:type="fixed"/>
      </w:tblPr>
      <w:tblGrid>
        <w:gridCol w:w="2154"/>
        <w:gridCol w:w="7480"/>
      </w:tblGrid>
      <w:tr>
        <w:trPr>
          <w:trHeight w:hRule="atLeast" w:val="1204"/>
        </w:trPr>
        <w:tc>
          <w:tcPr>
            <w:tcW w:type="dxa" w:w="2154"/>
            <w:vAlign w:val="center"/>
          </w:tcPr>
          <w:p w14:paraId="49010000">
            <w:pPr>
              <w:ind/>
              <w:jc w:val="center"/>
              <w:rPr>
                <w:rFonts w:ascii="Times New Roman" w:hAnsi="Times New Roman"/>
                <w:b w:val="1"/>
                <w:sz w:val="24"/>
              </w:rPr>
            </w:pPr>
            <w:r>
              <w:rPr>
                <w:rFonts w:ascii="Times New Roman" w:hAnsi="Times New Roman"/>
                <w:b w:val="1"/>
              </w:rPr>
              <w:t>Наименование разделов и тем</w:t>
            </w:r>
          </w:p>
        </w:tc>
        <w:tc>
          <w:tcPr>
            <w:tcW w:type="dxa" w:w="7480"/>
            <w:vAlign w:val="center"/>
          </w:tcPr>
          <w:p w14:paraId="4A010000">
            <w:pPr>
              <w:ind/>
              <w:jc w:val="center"/>
              <w:rPr>
                <w:rFonts w:ascii="Times New Roman" w:hAnsi="Times New Roman"/>
                <w:b w:val="1"/>
                <w:sz w:val="24"/>
              </w:rPr>
            </w:pPr>
            <w:r>
              <w:rPr>
                <w:rFonts w:ascii="Times New Roman" w:hAnsi="Times New Roman"/>
                <w:b w:val="1"/>
              </w:rPr>
              <w:t>Примерное содержание учебного материала, практ</w:t>
            </w:r>
            <w:r>
              <w:rPr>
                <w:rFonts w:ascii="Times New Roman" w:hAnsi="Times New Roman"/>
                <w:b w:val="1"/>
              </w:rPr>
              <w:t xml:space="preserve">ических и лабораторных занятия, </w:t>
            </w:r>
            <w:r>
              <w:rPr>
                <w:rFonts w:ascii="Times New Roman" w:hAnsi="Times New Roman"/>
                <w:i w:val="1"/>
              </w:rPr>
              <w:t>курсовой проект (работа)</w:t>
            </w:r>
          </w:p>
        </w:tc>
      </w:tr>
      <w:tr>
        <w:tc>
          <w:tcPr>
            <w:tcW w:type="dxa" w:w="9634"/>
            <w:gridSpan w:val="2"/>
          </w:tcPr>
          <w:p w14:paraId="4B010000">
            <w:pPr>
              <w:rPr>
                <w:rFonts w:ascii="Times New Roman" w:hAnsi="Times New Roman"/>
                <w:b w:val="1"/>
                <w:color w:val="000000"/>
                <w:sz w:val="24"/>
                <w:highlight w:val="white"/>
              </w:rPr>
            </w:pPr>
            <w:r>
              <w:rPr>
                <w:rFonts w:ascii="Times New Roman" w:hAnsi="Times New Roman"/>
                <w:b w:val="1"/>
                <w:sz w:val="24"/>
              </w:rPr>
              <w:t xml:space="preserve">Раздел 1. </w:t>
            </w:r>
            <w:r>
              <w:rPr>
                <w:rFonts w:ascii="Times New Roman" w:hAnsi="Times New Roman"/>
                <w:b w:val="1"/>
                <w:color w:val="000000"/>
                <w:sz w:val="24"/>
                <w:highlight w:val="white"/>
              </w:rPr>
              <w:t>Практические основы бухгалтерского учета активов организации и источников их формирования</w:t>
            </w:r>
            <w:r>
              <w:rPr>
                <w:rFonts w:ascii="Times New Roman" w:hAnsi="Times New Roman"/>
                <w:b w:val="1"/>
                <w:color w:val="000000"/>
                <w:sz w:val="24"/>
                <w:highlight w:val="white"/>
              </w:rPr>
              <w:t xml:space="preserve"> (176 ч.)</w:t>
            </w:r>
          </w:p>
        </w:tc>
      </w:tr>
      <w:tr>
        <w:trPr>
          <w:trHeight w:hRule="atLeast" w:val="361"/>
        </w:trPr>
        <w:tc>
          <w:tcPr>
            <w:tcW w:type="dxa" w:w="9634"/>
            <w:gridSpan w:val="2"/>
          </w:tcPr>
          <w:p w14:paraId="4C010000">
            <w:pPr>
              <w:rPr>
                <w:rFonts w:ascii="Times New Roman" w:hAnsi="Times New Roman"/>
                <w:b w:val="1"/>
                <w:sz w:val="24"/>
              </w:rPr>
            </w:pPr>
            <w:r>
              <w:rPr>
                <w:rFonts w:ascii="Times New Roman" w:hAnsi="Times New Roman"/>
                <w:b w:val="1"/>
                <w:sz w:val="24"/>
              </w:rPr>
              <w:t>МДК</w:t>
            </w:r>
            <w:r>
              <w:rPr>
                <w:rFonts w:ascii="Times New Roman" w:hAnsi="Times New Roman"/>
                <w:b w:val="1"/>
                <w:color w:val="000000"/>
                <w:sz w:val="24"/>
                <w:highlight w:val="white"/>
              </w:rPr>
              <w:t xml:space="preserve"> 01.01</w:t>
            </w:r>
            <w:r>
              <w:rPr>
                <w:rFonts w:ascii="Times New Roman" w:hAnsi="Times New Roman"/>
                <w:b w:val="1"/>
                <w:sz w:val="24"/>
              </w:rPr>
              <w:t xml:space="preserve"> </w:t>
            </w:r>
            <w:r>
              <w:rPr>
                <w:rFonts w:ascii="Times New Roman" w:hAnsi="Times New Roman"/>
                <w:b w:val="1"/>
                <w:color w:val="000000"/>
                <w:sz w:val="24"/>
                <w:highlight w:val="white"/>
              </w:rPr>
              <w:t>Практические основы бухгалтерского учета активов организации и источников их формирования</w:t>
            </w:r>
          </w:p>
        </w:tc>
      </w:tr>
      <w:tr>
        <w:tc>
          <w:tcPr>
            <w:tcW w:type="dxa" w:w="2154"/>
            <w:vMerge w:val="restart"/>
          </w:tcPr>
          <w:p w14:paraId="4D010000">
            <w:pP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ZGE5ZGFmYWItNWMyYi00Y2E2LTg4NjItN2NhYWQ3YTFlYWU1fOTo8fbo7+vo7eB8fM/w4Ory6Pfl8ero5SDu8e3u4vsg4fP14+Dr8uXw8eru4+4g8/fl8uAg4Ory6OLu4iDu8OPg7ejn4Pbo6A==//OWQ3N2RhMzUtYjk3Ny00MGEzLWJmZmMtYzU1YmZhMmFiMTA5fPLl7OB80uXs4CAxfM7x7e7i+yDh8/Xj4Ovy5fDx6u7j7iDz9+Xy4C4=')"</w:instrText>
            </w:r>
            <w:r>
              <w:rPr>
                <w:rFonts w:ascii="Times New Roman" w:hAnsi="Times New Roman"/>
                <w:b w:val="1"/>
                <w:sz w:val="24"/>
                <w:highlight w:val="white"/>
              </w:rPr>
              <w:fldChar w:fldCharType="separate"/>
            </w:r>
            <w:r>
              <w:rPr>
                <w:rFonts w:ascii="Times New Roman" w:hAnsi="Times New Roman"/>
                <w:b w:val="1"/>
                <w:sz w:val="24"/>
                <w:highlight w:val="white"/>
              </w:rPr>
              <w:t>Тема 1.</w:t>
            </w:r>
            <w:r>
              <w:rPr>
                <w:rFonts w:ascii="Times New Roman" w:hAnsi="Times New Roman"/>
                <w:b w:val="1"/>
                <w:sz w:val="24"/>
                <w:highlight w:val="white"/>
              </w:rPr>
              <w:t>1.</w:t>
            </w:r>
            <w:r>
              <w:rPr>
                <w:rFonts w:ascii="Times New Roman" w:hAnsi="Times New Roman"/>
                <w:b w:val="1"/>
                <w:sz w:val="24"/>
                <w:highlight w:val="white"/>
              </w:rPr>
              <w:t xml:space="preserve"> Основы бухгалтерского учета.</w:t>
            </w:r>
            <w:r>
              <w:rPr>
                <w:rFonts w:ascii="Times New Roman" w:hAnsi="Times New Roman"/>
                <w:b w:val="1"/>
                <w:sz w:val="24"/>
                <w:highlight w:val="white"/>
              </w:rPr>
              <w:fldChar w:fldCharType="end"/>
            </w:r>
          </w:p>
          <w:p w14:paraId="4E010000">
            <w:pPr>
              <w:rPr>
                <w:rFonts w:ascii="Times New Roman" w:hAnsi="Times New Roman"/>
                <w:b w:val="1"/>
                <w:sz w:val="24"/>
              </w:rPr>
            </w:pPr>
          </w:p>
        </w:tc>
        <w:tc>
          <w:tcPr>
            <w:tcW w:type="dxa" w:w="7480"/>
          </w:tcPr>
          <w:p w14:paraId="4F010000">
            <w:pPr>
              <w:rPr>
                <w:rFonts w:ascii="Times New Roman" w:hAnsi="Times New Roman"/>
                <w:b w:val="1"/>
                <w:sz w:val="24"/>
              </w:rPr>
            </w:pPr>
            <w:r>
              <w:rPr>
                <w:rFonts w:ascii="Times New Roman" w:hAnsi="Times New Roman"/>
                <w:b w:val="1"/>
                <w:sz w:val="24"/>
              </w:rPr>
              <w:t xml:space="preserve">Содержание </w:t>
            </w:r>
          </w:p>
        </w:tc>
      </w:tr>
      <w:tr>
        <w:trPr>
          <w:trHeight w:hRule="atLeast" w:val="4625"/>
        </w:trPr>
        <w:tc>
          <w:tcPr>
            <w:tcW w:type="dxa" w:w="2154"/>
            <w:gridSpan w:val="1"/>
            <w:vMerge w:val="continue"/>
          </w:tcPr>
          <w:p/>
        </w:tc>
        <w:tc>
          <w:tcPr>
            <w:tcW w:type="dxa" w:w="7480"/>
          </w:tcPr>
          <w:p w14:paraId="50010000">
            <w:pPr>
              <w:ind/>
              <w:jc w:val="both"/>
              <w:rPr>
                <w:rFonts w:ascii="Times New Roman" w:hAnsi="Times New Roman"/>
                <w:sz w:val="24"/>
              </w:rPr>
            </w:pPr>
            <w:r>
              <w:rPr>
                <w:rFonts w:ascii="Times New Roman" w:hAnsi="Times New Roman"/>
                <w:sz w:val="24"/>
              </w:rPr>
              <w:t xml:space="preserve">Бухгалтерская информация и ее значение в управлении производством. Общие правила организации бухгалтерского учета, международные бухгалтерские правила и учетные стандарты. Объекты учета. Документальное оформление хозяйственных операций и действий. Понятие и определение первичных бухгалтерских документов. Порядок проверки, таксировки и </w:t>
            </w:r>
            <w:r>
              <w:rPr>
                <w:rFonts w:ascii="Times New Roman" w:hAnsi="Times New Roman"/>
                <w:sz w:val="24"/>
              </w:rPr>
              <w:t>контировки</w:t>
            </w:r>
            <w:r>
              <w:rPr>
                <w:rFonts w:ascii="Times New Roman" w:hAnsi="Times New Roman"/>
                <w:sz w:val="24"/>
              </w:rPr>
              <w:t xml:space="preserve"> первичных документов. Принципы и признаки группировки первичных бухгалтерских документов. Правила и сроки хранения первичной бухгалтерской документации. Систематизация бухгалтерской информации в учетных регистрах. Исправление ошибочных бухгалтерских записей в первичных документах и учетных регистрах. Понятие и порядок организации документооборота. Федеральный Закон РФ "О бухгалтерском учете" №402-ФЗ. Техника бухгалтерского учета. Различия финансового, управленческого и налогового учета. Понятие, строение и порядок отражения хозяйственных операций на счетах бухгалтерского учета. Классификация счетов бухгалтерского учета по экономическому содержанию, назначению и структуре. План счетов финансово-хозяйственной деятельности предприятий, его назначение и  его содержание. Инструкция по применению плана счетов бухгалтерского учета. Принципы и цели разработки рабочего плана счетов бухгалтерского учета организации. Подходы к проблеме оптимальной организации рабочего плана счетов – автономия финансового и управленческого учета и объединение финансового и управленческого учета.</w:t>
            </w:r>
          </w:p>
        </w:tc>
      </w:tr>
      <w:tr>
        <w:trPr>
          <w:trHeight w:hRule="atLeast" w:val="237"/>
        </w:trPr>
        <w:tc>
          <w:tcPr>
            <w:tcW w:type="dxa" w:w="2154"/>
            <w:gridSpan w:val="1"/>
            <w:vMerge w:val="continue"/>
          </w:tcPr>
          <w:p/>
        </w:tc>
        <w:tc>
          <w:tcPr>
            <w:tcW w:type="dxa" w:w="7480"/>
          </w:tcPr>
          <w:p w14:paraId="51010000">
            <w:pPr>
              <w:ind/>
              <w:jc w:val="both"/>
              <w:rPr>
                <w:rFonts w:ascii="Times New Roman" w:hAnsi="Times New Roman"/>
                <w:b w:val="1"/>
                <w:sz w:val="24"/>
              </w:rPr>
            </w:pPr>
            <w:r>
              <w:rPr>
                <w:rFonts w:ascii="Times New Roman" w:hAnsi="Times New Roman"/>
                <w:b w:val="1"/>
                <w:sz w:val="24"/>
              </w:rPr>
              <w:t>В том числе практических занятий и лабораторных работ</w:t>
            </w:r>
          </w:p>
        </w:tc>
      </w:tr>
      <w:tr>
        <w:trPr>
          <w:trHeight w:hRule="atLeast" w:val="818"/>
        </w:trPr>
        <w:tc>
          <w:tcPr>
            <w:tcW w:type="dxa" w:w="2154"/>
            <w:gridSpan w:val="1"/>
            <w:vMerge w:val="continue"/>
          </w:tcPr>
          <w:p/>
        </w:tc>
        <w:tc>
          <w:tcPr>
            <w:tcW w:type="dxa" w:w="7480"/>
          </w:tcPr>
          <w:p w14:paraId="52010000">
            <w:pPr>
              <w:ind/>
              <w:jc w:val="both"/>
              <w:rPr>
                <w:rFonts w:ascii="Times New Roman" w:hAnsi="Times New Roman"/>
                <w:b w:val="1"/>
                <w:sz w:val="24"/>
              </w:rPr>
            </w:pPr>
            <w:r>
              <w:rPr>
                <w:rFonts w:ascii="Times New Roman" w:hAnsi="Times New Roman"/>
                <w:sz w:val="24"/>
              </w:rPr>
              <w:t xml:space="preserve">1. «Сущность и значение бухгалтерских документов. Классификация документов по назначению, способу использования, порядку формирования, месту и способу составления. </w:t>
            </w:r>
            <w:r>
              <w:rPr>
                <w:rFonts w:ascii="Times New Roman" w:hAnsi="Times New Roman"/>
                <w:sz w:val="24"/>
              </w:rPr>
              <w:t>Решение ситуационных задач».</w:t>
            </w:r>
          </w:p>
        </w:tc>
      </w:tr>
      <w:tr>
        <w:trPr>
          <w:trHeight w:hRule="atLeast" w:val="520"/>
        </w:trPr>
        <w:tc>
          <w:tcPr>
            <w:tcW w:type="dxa" w:w="2154"/>
            <w:gridSpan w:val="1"/>
            <w:vMerge w:val="continue"/>
          </w:tcPr>
          <w:p/>
        </w:tc>
        <w:tc>
          <w:tcPr>
            <w:tcW w:type="dxa" w:w="7480"/>
          </w:tcPr>
          <w:p w14:paraId="53010000">
            <w:pPr>
              <w:ind/>
              <w:jc w:val="both"/>
              <w:rPr>
                <w:rFonts w:ascii="Times New Roman" w:hAnsi="Times New Roman"/>
                <w:b w:val="1"/>
                <w:sz w:val="24"/>
              </w:rPr>
            </w:pPr>
            <w:r>
              <w:rPr>
                <w:rFonts w:ascii="Times New Roman" w:hAnsi="Times New Roman"/>
                <w:sz w:val="24"/>
              </w:rPr>
              <w:t>2. «Формы и реквизиты документов. Порядок составления и обработки бухгалтерских документов.</w:t>
            </w:r>
            <w:r>
              <w:rPr>
                <w:rFonts w:ascii="Times New Roman" w:hAnsi="Times New Roman"/>
                <w:sz w:val="24"/>
              </w:rPr>
              <w:t xml:space="preserve"> Решение ситуационных задач».</w:t>
            </w:r>
          </w:p>
        </w:tc>
      </w:tr>
      <w:tr>
        <w:trPr>
          <w:trHeight w:hRule="atLeast" w:val="529"/>
        </w:trPr>
        <w:tc>
          <w:tcPr>
            <w:tcW w:type="dxa" w:w="2154"/>
            <w:gridSpan w:val="1"/>
            <w:vMerge w:val="continue"/>
          </w:tcPr>
          <w:p/>
        </w:tc>
        <w:tc>
          <w:tcPr>
            <w:tcW w:type="dxa" w:w="7480"/>
          </w:tcPr>
          <w:p w14:paraId="54010000">
            <w:pPr>
              <w:ind/>
              <w:jc w:val="both"/>
              <w:rPr>
                <w:rFonts w:ascii="Times New Roman" w:hAnsi="Times New Roman"/>
                <w:b w:val="1"/>
                <w:sz w:val="24"/>
              </w:rPr>
            </w:pPr>
            <w:r>
              <w:rPr>
                <w:rFonts w:ascii="Times New Roman" w:hAnsi="Times New Roman"/>
                <w:sz w:val="24"/>
              </w:rPr>
              <w:t xml:space="preserve">3. «Понятие документооборота. Принципы группировки документов. Порядок хранения документов. </w:t>
            </w:r>
            <w:r>
              <w:rPr>
                <w:rFonts w:ascii="Times New Roman" w:hAnsi="Times New Roman"/>
                <w:sz w:val="24"/>
              </w:rPr>
              <w:t>Решение ситуационных задач».</w:t>
            </w:r>
          </w:p>
        </w:tc>
      </w:tr>
      <w:tr>
        <w:trPr>
          <w:trHeight w:hRule="atLeast" w:val="395"/>
        </w:trPr>
        <w:tc>
          <w:tcPr>
            <w:tcW w:type="dxa" w:w="2154"/>
            <w:gridSpan w:val="1"/>
            <w:vMerge w:val="continue"/>
          </w:tcPr>
          <w:p/>
        </w:tc>
        <w:tc>
          <w:tcPr>
            <w:tcW w:type="dxa" w:w="7480"/>
          </w:tcPr>
          <w:p w14:paraId="55010000">
            <w:pPr>
              <w:ind/>
              <w:jc w:val="both"/>
              <w:rPr>
                <w:rFonts w:ascii="Times New Roman" w:hAnsi="Times New Roman"/>
                <w:sz w:val="24"/>
              </w:rPr>
            </w:pPr>
            <w:r>
              <w:rPr>
                <w:rFonts w:ascii="Times New Roman" w:hAnsi="Times New Roman"/>
                <w:sz w:val="24"/>
              </w:rPr>
              <w:t>4. «План счетов бухгалтерского учета. Инструкция по применению плана счетов. Классификация счетов по экономическому содержанию. Классификация счетов по назначению и структуре».</w:t>
            </w:r>
          </w:p>
        </w:tc>
      </w:tr>
      <w:tr>
        <w:trPr>
          <w:trHeight w:hRule="atLeast" w:val="461"/>
        </w:trPr>
        <w:tc>
          <w:tcPr>
            <w:tcW w:type="dxa" w:w="2154"/>
            <w:vMerge w:val="restart"/>
          </w:tcPr>
          <w:p w14:paraId="56010000">
            <w:pPr>
              <w:rPr>
                <w:rFonts w:ascii="Times New Roman" w:hAnsi="Times New Roman"/>
                <w:sz w:val="24"/>
              </w:rPr>
            </w:pPr>
            <w:r>
              <w:rPr>
                <w:rFonts w:ascii="Times New Roman" w:hAnsi="Times New Roman"/>
                <w:b w:val="1"/>
                <w:sz w:val="24"/>
              </w:rPr>
              <w:fldChar w:fldCharType="begin"/>
            </w:r>
            <w:r>
              <w:rPr>
                <w:rFonts w:ascii="Times New Roman" w:hAnsi="Times New Roman"/>
                <w:b w:val="1"/>
                <w:sz w:val="24"/>
              </w:rPr>
              <w:instrText>HYPERLINK "javascript:__doPostBack('ctl00$ctl00$ParentContent$ContentLeftPart$tvTema','sZGE5ZGFmYWItNWMyYi00Y2E2LTg4NjItN2NhYWQ3YTFlYWU1fOTo8fbo7+vo7eB8fM/w4Ory6Pfl8ero5SDu8e3u4vsg4fP14+Dr8uXw8eru4+4g8/fl8uAg4Ory6OLu4iDu8OPg7ejn4Pbo6A==//MzA5M2I2ODktZTYxNi00YWNkLWI5YzMtNDA4ZWFjNThhNGYxfPLl7OB80uXs4CAyfNP35fIg5OXt5ebt+/Ug8fDl5PHy4i4=')"</w:instrText>
            </w:r>
            <w:r>
              <w:rPr>
                <w:rFonts w:ascii="Times New Roman" w:hAnsi="Times New Roman"/>
                <w:b w:val="1"/>
                <w:sz w:val="24"/>
              </w:rPr>
              <w:fldChar w:fldCharType="separate"/>
            </w:r>
            <w:r>
              <w:rPr>
                <w:rFonts w:ascii="Times New Roman" w:hAnsi="Times New Roman"/>
                <w:b w:val="1"/>
                <w:sz w:val="24"/>
              </w:rPr>
              <w:t xml:space="preserve">Тема </w:t>
            </w:r>
            <w:r>
              <w:rPr>
                <w:rFonts w:ascii="Times New Roman" w:hAnsi="Times New Roman"/>
                <w:b w:val="1"/>
                <w:sz w:val="24"/>
              </w:rPr>
              <w:t>1.2.</w:t>
            </w:r>
            <w:r>
              <w:rPr>
                <w:rFonts w:ascii="Times New Roman" w:hAnsi="Times New Roman"/>
                <w:b w:val="1"/>
                <w:sz w:val="24"/>
              </w:rPr>
              <w:t xml:space="preserve"> Учет денежных средств.</w:t>
            </w:r>
            <w:r>
              <w:rPr>
                <w:rFonts w:ascii="Times New Roman" w:hAnsi="Times New Roman"/>
                <w:b w:val="1"/>
                <w:sz w:val="24"/>
              </w:rPr>
              <w:fldChar w:fldCharType="end"/>
            </w:r>
          </w:p>
          <w:p w14:paraId="57010000">
            <w:pPr>
              <w:rPr>
                <w:rFonts w:ascii="Times New Roman" w:hAnsi="Times New Roman"/>
                <w:b w:val="1"/>
                <w:sz w:val="24"/>
              </w:rPr>
            </w:pPr>
          </w:p>
          <w:p w14:paraId="58010000">
            <w:pPr>
              <w:rPr>
                <w:rFonts w:ascii="Times New Roman" w:hAnsi="Times New Roman"/>
                <w:b w:val="1"/>
                <w:sz w:val="24"/>
              </w:rPr>
            </w:pPr>
          </w:p>
        </w:tc>
        <w:tc>
          <w:tcPr>
            <w:tcW w:type="dxa" w:w="7480"/>
          </w:tcPr>
          <w:p w14:paraId="59010000">
            <w:pPr>
              <w:rPr>
                <w:rFonts w:ascii="Times New Roman" w:hAnsi="Times New Roman"/>
                <w:b w:val="1"/>
                <w:sz w:val="24"/>
              </w:rPr>
            </w:pPr>
            <w:r>
              <w:rPr>
                <w:rFonts w:ascii="Times New Roman" w:hAnsi="Times New Roman"/>
                <w:b w:val="1"/>
                <w:sz w:val="24"/>
              </w:rPr>
              <w:t xml:space="preserve">Содержание </w:t>
            </w:r>
          </w:p>
        </w:tc>
      </w:tr>
      <w:tr>
        <w:trPr>
          <w:trHeight w:hRule="atLeast" w:val="1045"/>
        </w:trPr>
        <w:tc>
          <w:tcPr>
            <w:tcW w:type="dxa" w:w="2154"/>
            <w:gridSpan w:val="1"/>
            <w:vMerge w:val="continue"/>
          </w:tcPr>
          <w:p/>
        </w:tc>
        <w:tc>
          <w:tcPr>
            <w:tcW w:type="dxa" w:w="7480"/>
          </w:tcPr>
          <w:p w14:paraId="5A010000">
            <w:pPr>
              <w:ind/>
              <w:jc w:val="both"/>
              <w:rPr>
                <w:rFonts w:ascii="Times New Roman" w:hAnsi="Times New Roman"/>
                <w:sz w:val="24"/>
              </w:rPr>
            </w:pPr>
            <w:r>
              <w:rPr>
                <w:rFonts w:ascii="Times New Roman" w:hAnsi="Times New Roman"/>
                <w:sz w:val="24"/>
              </w:rPr>
              <w:t>Понятие денежных средств. Расчеты наличными. Порядок хранения денег и денежных документов в кассе. Порядок ведения кассовых операций. Документальное оформление кассовых операций. Кассовая книга и отчет кассира. Инвентаризация кассы. Синтетический учет кассовых операций. Учет денежных документов. Учет переводов в пути. Журнал-ордер № 1, порядок его заполнения.</w:t>
            </w:r>
          </w:p>
          <w:p w14:paraId="5B010000">
            <w:pPr>
              <w:ind/>
              <w:jc w:val="both"/>
              <w:rPr>
                <w:rFonts w:ascii="Times New Roman" w:hAnsi="Times New Roman"/>
                <w:sz w:val="24"/>
              </w:rPr>
            </w:pPr>
            <w:r>
              <w:rPr>
                <w:rFonts w:ascii="Times New Roman" w:hAnsi="Times New Roman"/>
                <w:sz w:val="24"/>
              </w:rPr>
              <w:t>Расчетный счет, его назначение. Порядок открытия расчетного счета. Документальное оформление операций по расчетному счету. Банковские платежные документы. Выписка банка. Синтетический учет операций по расчетному счету. Журнал-ордер № 2, порядок его заполнения. Аналитический и синтетический учет операций на специальных счетах в банках.</w:t>
            </w:r>
          </w:p>
          <w:p w14:paraId="5C010000">
            <w:pPr>
              <w:ind/>
              <w:jc w:val="both"/>
              <w:rPr>
                <w:rFonts w:ascii="Times New Roman" w:hAnsi="Times New Roman"/>
                <w:b w:val="1"/>
                <w:sz w:val="24"/>
              </w:rPr>
            </w:pPr>
            <w:r>
              <w:rPr>
                <w:rFonts w:ascii="Times New Roman" w:hAnsi="Times New Roman"/>
                <w:sz w:val="24"/>
              </w:rPr>
              <w:t>Основные понятия, характеристика и правовая основа валютных операций. Валютные счета организации. Учет операций по валютному счету. Учет кассовых валютных операций. Учет валютных экспортно-импортных операций. Расчеты с поставщиками, покупателями, заказчиками в валюте. Курсовые разницы. Продажа валютной выручки. Синтетический и аналитический учет валютных операций. Журнал-ордер № 2/1, его заполнение.</w:t>
            </w:r>
            <w:r>
              <w:rPr>
                <w:rFonts w:ascii="Times New Roman" w:hAnsi="Times New Roman"/>
                <w:b w:val="1"/>
                <w:sz w:val="24"/>
              </w:rPr>
              <w:t xml:space="preserve"> </w:t>
            </w:r>
          </w:p>
        </w:tc>
      </w:tr>
      <w:tr>
        <w:tc>
          <w:tcPr>
            <w:tcW w:type="dxa" w:w="2154"/>
            <w:gridSpan w:val="1"/>
            <w:vMerge w:val="continue"/>
          </w:tcPr>
          <w:p/>
        </w:tc>
        <w:tc>
          <w:tcPr>
            <w:tcW w:type="dxa" w:w="7480"/>
          </w:tcPr>
          <w:p w14:paraId="5D010000">
            <w:pPr>
              <w:rPr>
                <w:rFonts w:ascii="Times New Roman" w:hAnsi="Times New Roman"/>
                <w:b w:val="1"/>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5E010000">
            <w:pPr>
              <w:ind/>
              <w:jc w:val="both"/>
              <w:rPr>
                <w:rFonts w:ascii="Times New Roman" w:hAnsi="Times New Roman"/>
                <w:sz w:val="24"/>
              </w:rPr>
            </w:pPr>
            <w:r>
              <w:rPr>
                <w:rFonts w:ascii="Times New Roman" w:hAnsi="Times New Roman"/>
                <w:sz w:val="24"/>
              </w:rPr>
              <w:t>1. Решение кейса «Знакомство с конфигурацией программы ведения бухгалтерского учета для проведения практических занятий. Начальное заполнение информационной базы. Настройка параметров учета».</w:t>
            </w:r>
          </w:p>
        </w:tc>
      </w:tr>
      <w:tr>
        <w:tc>
          <w:tcPr>
            <w:tcW w:type="dxa" w:w="2154"/>
            <w:gridSpan w:val="1"/>
            <w:vMerge w:val="continue"/>
          </w:tcPr>
          <w:p/>
        </w:tc>
        <w:tc>
          <w:tcPr>
            <w:tcW w:type="dxa" w:w="7480"/>
          </w:tcPr>
          <w:p w14:paraId="5F010000">
            <w:pPr>
              <w:ind/>
              <w:jc w:val="both"/>
              <w:rPr>
                <w:rFonts w:ascii="Times New Roman" w:hAnsi="Times New Roman"/>
                <w:sz w:val="24"/>
              </w:rPr>
            </w:pPr>
            <w:r>
              <w:rPr>
                <w:rFonts w:ascii="Times New Roman" w:hAnsi="Times New Roman"/>
                <w:sz w:val="24"/>
              </w:rPr>
              <w:t>2. Решение кейса «Понятие денежных средств и кассовых операций. Порядок хранения денег и денежных документов в кассе. Основные правила ведения кассовой книги. Отчет кассира. Проверка и бухгалтерская обработка кассовых документов».</w:t>
            </w:r>
          </w:p>
        </w:tc>
      </w:tr>
      <w:tr>
        <w:tc>
          <w:tcPr>
            <w:tcW w:type="dxa" w:w="2154"/>
            <w:gridSpan w:val="1"/>
            <w:vMerge w:val="continue"/>
          </w:tcPr>
          <w:p/>
        </w:tc>
        <w:tc>
          <w:tcPr>
            <w:tcW w:type="dxa" w:w="7480"/>
          </w:tcPr>
          <w:p w14:paraId="60010000">
            <w:pPr>
              <w:ind/>
              <w:jc w:val="both"/>
              <w:rPr>
                <w:rFonts w:ascii="Times New Roman" w:hAnsi="Times New Roman"/>
                <w:sz w:val="24"/>
              </w:rPr>
            </w:pPr>
            <w:r>
              <w:rPr>
                <w:rFonts w:ascii="Times New Roman" w:hAnsi="Times New Roman"/>
                <w:sz w:val="24"/>
              </w:rPr>
              <w:t>3. «Расчетный счет, его назначение. Порядок открытия расчетного счета. Банковские платежные документы. Порядок проверки и бухгалтерской обработки выписок банка по расчетным счетам. Решение ситуационных задач».</w:t>
            </w:r>
          </w:p>
        </w:tc>
      </w:tr>
      <w:tr>
        <w:tc>
          <w:tcPr>
            <w:tcW w:type="dxa" w:w="2154"/>
            <w:gridSpan w:val="1"/>
            <w:vMerge w:val="continue"/>
          </w:tcPr>
          <w:p/>
        </w:tc>
        <w:tc>
          <w:tcPr>
            <w:tcW w:type="dxa" w:w="7480"/>
          </w:tcPr>
          <w:p w14:paraId="61010000">
            <w:pPr>
              <w:ind/>
              <w:jc w:val="both"/>
              <w:rPr>
                <w:rFonts w:ascii="Times New Roman" w:hAnsi="Times New Roman"/>
                <w:sz w:val="24"/>
              </w:rPr>
            </w:pPr>
            <w:r>
              <w:rPr>
                <w:rFonts w:ascii="Times New Roman" w:hAnsi="Times New Roman"/>
                <w:sz w:val="24"/>
              </w:rPr>
              <w:t>4. «Порядок учета операций на специальных счетах в кредитных организациях. Решение ситуационных задач».</w:t>
            </w:r>
          </w:p>
        </w:tc>
      </w:tr>
      <w:tr>
        <w:tc>
          <w:tcPr>
            <w:tcW w:type="dxa" w:w="2154"/>
            <w:gridSpan w:val="1"/>
            <w:vMerge w:val="continue"/>
          </w:tcPr>
          <w:p/>
        </w:tc>
        <w:tc>
          <w:tcPr>
            <w:tcW w:type="dxa" w:w="7480"/>
          </w:tcPr>
          <w:p w14:paraId="62010000">
            <w:pPr>
              <w:ind/>
              <w:jc w:val="both"/>
              <w:rPr>
                <w:rFonts w:ascii="Times New Roman" w:hAnsi="Times New Roman"/>
                <w:sz w:val="24"/>
              </w:rPr>
            </w:pPr>
            <w:r>
              <w:rPr>
                <w:rFonts w:ascii="Times New Roman" w:hAnsi="Times New Roman"/>
                <w:sz w:val="24"/>
              </w:rPr>
              <w:t xml:space="preserve">5. Решение кейса «Порядок учета операций в иностранной валюте». </w:t>
            </w:r>
          </w:p>
        </w:tc>
      </w:tr>
      <w:tr>
        <w:tc>
          <w:tcPr>
            <w:tcW w:type="dxa" w:w="2154"/>
            <w:vMerge w:val="restart"/>
          </w:tcPr>
          <w:p w14:paraId="63010000">
            <w:pP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ZGE5ZGFmYWItNWMyYi00Y2E2LTg4NjItN2NhYWQ3YTFlYWU1fOTo8fbo7+vo7eB8fM/w4Ory6Pfl8ero5SDu8e3u4vsg4fP14+Dr8uXw8eru4+4g8/fl8uAg4Ory6OLu4iDu8OPg7ejn4Pbo6A==//MDU0Y2NjOWUtNzdiNS00NDAxLTkzYmYtNDgzN2UxMTRhYWM3fPLl7OB80uXs4CAzfNP35fIg7vHt7uLt+/Ug8fDl5PHy4i4=')"</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3. Учет основных средств.</w:t>
            </w:r>
            <w:r>
              <w:rPr>
                <w:rFonts w:ascii="Times New Roman" w:hAnsi="Times New Roman"/>
                <w:b w:val="1"/>
                <w:sz w:val="24"/>
                <w:highlight w:val="white"/>
              </w:rPr>
              <w:fldChar w:fldCharType="end"/>
            </w:r>
          </w:p>
        </w:tc>
        <w:tc>
          <w:tcPr>
            <w:tcW w:type="dxa" w:w="7480"/>
          </w:tcPr>
          <w:p w14:paraId="64010000">
            <w:pPr>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65010000">
            <w:pPr>
              <w:ind/>
              <w:jc w:val="both"/>
              <w:rPr>
                <w:rFonts w:ascii="Times New Roman" w:hAnsi="Times New Roman"/>
                <w:sz w:val="24"/>
              </w:rPr>
            </w:pPr>
            <w:r>
              <w:rPr>
                <w:rFonts w:ascii="Times New Roman" w:hAnsi="Times New Roman"/>
                <w:sz w:val="24"/>
              </w:rPr>
              <w:t xml:space="preserve">Понятие, классификация и оценка основных средств. Состав и задачи учета основных средств. Организация аналитического учета основных средств. Документальное оформление операций по учету поступления </w:t>
            </w:r>
            <w:r>
              <w:rPr>
                <w:rFonts w:ascii="Times New Roman" w:hAnsi="Times New Roman"/>
                <w:sz w:val="24"/>
              </w:rPr>
              <w:t>и использования основных средств. Синтетический учет поступления основных средств: безвозмездная передача их юридическими и физическими лицами, приобретение, вклад в уставный капитал и др. Учет оборудования, требующего монтажа. Особенности учета НДС по основным средствам.</w:t>
            </w:r>
          </w:p>
          <w:p w14:paraId="66010000">
            <w:pPr>
              <w:ind/>
              <w:jc w:val="both"/>
              <w:rPr>
                <w:rFonts w:ascii="Times New Roman" w:hAnsi="Times New Roman"/>
                <w:sz w:val="24"/>
              </w:rPr>
            </w:pPr>
            <w:r>
              <w:rPr>
                <w:rFonts w:ascii="Times New Roman" w:hAnsi="Times New Roman"/>
                <w:sz w:val="24"/>
              </w:rPr>
              <w:t>Понятие амортизации, амортизационных отчислений. Способы начисления амортизации в бухгалтерском и налоговом учете. Порядок начисления амортизации. Синтетический и аналитический учет амортизации основных средств. Журнал-ордер № 13, порядок его заполнения.</w:t>
            </w:r>
          </w:p>
          <w:p w14:paraId="67010000">
            <w:pPr>
              <w:ind/>
              <w:jc w:val="both"/>
              <w:rPr>
                <w:rFonts w:ascii="Times New Roman" w:hAnsi="Times New Roman"/>
                <w:sz w:val="24"/>
              </w:rPr>
            </w:pPr>
            <w:r>
              <w:rPr>
                <w:rFonts w:ascii="Times New Roman" w:hAnsi="Times New Roman"/>
                <w:sz w:val="24"/>
              </w:rPr>
              <w:t>Виды ремонта основных средств и способы его проведения. Документальное оформление и порядок учета затрат по ремонту основных средств. Формирование ремонтного фонда и его использование. Синтетический учет затрат на восстановление основных средств, согласно выбранному методу отнесения затрат по капитальному ремонту на себестоимость продукции, работ и услуг. Учет НДС по выполненным ремонтным работам подрядным способом.</w:t>
            </w:r>
          </w:p>
          <w:p w14:paraId="68010000">
            <w:pPr>
              <w:ind/>
              <w:jc w:val="both"/>
              <w:rPr>
                <w:rFonts w:ascii="Times New Roman" w:hAnsi="Times New Roman"/>
                <w:sz w:val="24"/>
              </w:rPr>
            </w:pPr>
            <w:r>
              <w:rPr>
                <w:rFonts w:ascii="Times New Roman" w:hAnsi="Times New Roman"/>
                <w:sz w:val="24"/>
              </w:rPr>
              <w:t>Причины выбытия основных средств. Особенности синтетического учета выбытия основных средств из эксплуатации. Документальное оформление выбытия основных средств. Порядок определения непригодности основных средств. Учет операций по продаже основных средств. Учет НДС по продаже основных средств.</w:t>
            </w:r>
          </w:p>
          <w:p w14:paraId="69010000">
            <w:pPr>
              <w:ind/>
              <w:jc w:val="both"/>
              <w:rPr>
                <w:rFonts w:ascii="Times New Roman" w:hAnsi="Times New Roman"/>
                <w:sz w:val="24"/>
              </w:rPr>
            </w:pPr>
            <w:r>
              <w:rPr>
                <w:rFonts w:ascii="Times New Roman" w:hAnsi="Times New Roman"/>
                <w:sz w:val="24"/>
              </w:rPr>
              <w:t>Понятие и содержание арендных отношений. Виды аренды. Учет краткосрочной текущей аренды основных средств у арендатора и арендодателя. Учет долгосрочной аренды и лизинговых операций у лизингополучателя и лизингодателя. Особенности учета НДС по арендной плате.</w:t>
            </w:r>
          </w:p>
          <w:p w14:paraId="6A010000">
            <w:pPr>
              <w:ind/>
              <w:jc w:val="both"/>
              <w:rPr>
                <w:rFonts w:ascii="Times New Roman" w:hAnsi="Times New Roman"/>
                <w:sz w:val="24"/>
              </w:rPr>
            </w:pPr>
            <w:r>
              <w:rPr>
                <w:rFonts w:ascii="Times New Roman" w:hAnsi="Times New Roman"/>
                <w:sz w:val="24"/>
              </w:rPr>
              <w:t>Понятие переоценки основных средств, причины ее проведения. Порядок осуществления операций по переоценке основных средств. Документальное оформление операций по учету. Синтетический учет результатов переоценки основных средств.</w:t>
            </w:r>
          </w:p>
        </w:tc>
      </w:tr>
      <w:tr>
        <w:tc>
          <w:tcPr>
            <w:tcW w:type="dxa" w:w="2154"/>
            <w:gridSpan w:val="1"/>
            <w:vMerge w:val="continue"/>
          </w:tcPr>
          <w:p/>
        </w:tc>
        <w:tc>
          <w:tcPr>
            <w:tcW w:type="dxa" w:w="7480"/>
          </w:tcPr>
          <w:p w14:paraId="6B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6C010000">
            <w:pPr>
              <w:numPr>
                <w:ilvl w:val="0"/>
                <w:numId w:val="1"/>
              </w:numPr>
              <w:ind w:hanging="320" w:left="0"/>
              <w:rPr>
                <w:rFonts w:ascii="Times New Roman" w:hAnsi="Times New Roman"/>
                <w:sz w:val="24"/>
              </w:rPr>
            </w:pPr>
            <w:r>
              <w:rPr>
                <w:rFonts w:ascii="Times New Roman" w:hAnsi="Times New Roman"/>
                <w:sz w:val="24"/>
              </w:rPr>
              <w:t>«Порядок учета поступления основных средств. Решение ситуационных задач».</w:t>
            </w:r>
          </w:p>
        </w:tc>
      </w:tr>
      <w:tr>
        <w:tc>
          <w:tcPr>
            <w:tcW w:type="dxa" w:w="2154"/>
            <w:gridSpan w:val="1"/>
            <w:vMerge w:val="continue"/>
          </w:tcPr>
          <w:p/>
        </w:tc>
        <w:tc>
          <w:tcPr>
            <w:tcW w:type="dxa" w:w="7480"/>
          </w:tcPr>
          <w:p w14:paraId="6D010000">
            <w:pPr>
              <w:numPr>
                <w:ilvl w:val="0"/>
                <w:numId w:val="1"/>
              </w:numPr>
              <w:ind w:hanging="320" w:left="0"/>
              <w:rPr>
                <w:rFonts w:ascii="Times New Roman" w:hAnsi="Times New Roman"/>
                <w:sz w:val="24"/>
              </w:rPr>
            </w:pPr>
            <w:r>
              <w:rPr>
                <w:rFonts w:ascii="Times New Roman" w:hAnsi="Times New Roman"/>
                <w:sz w:val="24"/>
              </w:rPr>
              <w:t>«Порядок учета дополнительных расходов по приобретению основных средств. Решение ситуационных задач».</w:t>
            </w:r>
          </w:p>
        </w:tc>
      </w:tr>
      <w:tr>
        <w:tc>
          <w:tcPr>
            <w:tcW w:type="dxa" w:w="2154"/>
            <w:gridSpan w:val="1"/>
            <w:vMerge w:val="continue"/>
          </w:tcPr>
          <w:p/>
        </w:tc>
        <w:tc>
          <w:tcPr>
            <w:tcW w:type="dxa" w:w="7480"/>
          </w:tcPr>
          <w:p w14:paraId="6E010000">
            <w:pPr>
              <w:numPr>
                <w:ilvl w:val="0"/>
                <w:numId w:val="1"/>
              </w:numPr>
              <w:ind w:hanging="320" w:left="0"/>
              <w:rPr>
                <w:rFonts w:ascii="Times New Roman" w:hAnsi="Times New Roman"/>
                <w:sz w:val="24"/>
              </w:rPr>
            </w:pPr>
            <w:r>
              <w:rPr>
                <w:rFonts w:ascii="Times New Roman" w:hAnsi="Times New Roman"/>
                <w:sz w:val="24"/>
              </w:rPr>
              <w:t>Решение кейса «Принятие к учету основных средств».</w:t>
            </w:r>
          </w:p>
        </w:tc>
      </w:tr>
      <w:tr>
        <w:tc>
          <w:tcPr>
            <w:tcW w:type="dxa" w:w="2154"/>
            <w:gridSpan w:val="1"/>
            <w:vMerge w:val="continue"/>
          </w:tcPr>
          <w:p/>
        </w:tc>
        <w:tc>
          <w:tcPr>
            <w:tcW w:type="dxa" w:w="7480"/>
          </w:tcPr>
          <w:p w14:paraId="6F010000">
            <w:pPr>
              <w:numPr>
                <w:ilvl w:val="0"/>
                <w:numId w:val="1"/>
              </w:numPr>
              <w:ind w:hanging="320" w:left="0"/>
              <w:rPr>
                <w:rFonts w:ascii="Times New Roman" w:hAnsi="Times New Roman"/>
                <w:sz w:val="24"/>
              </w:rPr>
            </w:pPr>
            <w:r>
              <w:rPr>
                <w:rFonts w:ascii="Times New Roman" w:hAnsi="Times New Roman"/>
                <w:sz w:val="24"/>
              </w:rPr>
              <w:t>«Учет выбытия основных средств». Решение ситуационных задач».</w:t>
            </w:r>
          </w:p>
        </w:tc>
      </w:tr>
      <w:tr>
        <w:tc>
          <w:tcPr>
            <w:tcW w:type="dxa" w:w="2154"/>
            <w:gridSpan w:val="1"/>
            <w:vMerge w:val="continue"/>
          </w:tcPr>
          <w:p/>
        </w:tc>
        <w:tc>
          <w:tcPr>
            <w:tcW w:type="dxa" w:w="7480"/>
          </w:tcPr>
          <w:p w14:paraId="70010000">
            <w:pPr>
              <w:numPr>
                <w:ilvl w:val="0"/>
                <w:numId w:val="1"/>
              </w:numPr>
              <w:ind w:hanging="320" w:left="0"/>
              <w:rPr>
                <w:rFonts w:ascii="Times New Roman" w:hAnsi="Times New Roman"/>
                <w:sz w:val="24"/>
              </w:rPr>
            </w:pPr>
            <w:r>
              <w:rPr>
                <w:rFonts w:ascii="Times New Roman" w:hAnsi="Times New Roman"/>
                <w:sz w:val="24"/>
              </w:rPr>
              <w:t>«Порядок учета амортизации основных средств. Решение ситуационных задач».</w:t>
            </w:r>
          </w:p>
        </w:tc>
      </w:tr>
      <w:tr>
        <w:tc>
          <w:tcPr>
            <w:tcW w:type="dxa" w:w="2154"/>
            <w:gridSpan w:val="1"/>
            <w:vMerge w:val="continue"/>
          </w:tcPr>
          <w:p/>
        </w:tc>
        <w:tc>
          <w:tcPr>
            <w:tcW w:type="dxa" w:w="7480"/>
          </w:tcPr>
          <w:p w14:paraId="71010000">
            <w:pPr>
              <w:numPr>
                <w:ilvl w:val="0"/>
                <w:numId w:val="1"/>
              </w:numPr>
              <w:ind w:hanging="320" w:left="0"/>
              <w:rPr>
                <w:rFonts w:ascii="Times New Roman" w:hAnsi="Times New Roman"/>
                <w:sz w:val="24"/>
              </w:rPr>
            </w:pPr>
            <w:r>
              <w:rPr>
                <w:rFonts w:ascii="Times New Roman" w:hAnsi="Times New Roman"/>
                <w:sz w:val="24"/>
              </w:rPr>
              <w:t>«Учет аренды основных средств.» Решение ситуационных задач».</w:t>
            </w:r>
          </w:p>
        </w:tc>
      </w:tr>
      <w:tr>
        <w:tc>
          <w:tcPr>
            <w:tcW w:type="dxa" w:w="2154"/>
            <w:vMerge w:val="restart"/>
          </w:tcPr>
          <w:p w14:paraId="72010000">
            <w:pP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ZGE5ZGFmYWItNWMyYi00Y2E2LTg4NjItN2NhYWQ3YTFlYWU1fOTo8fbo7+vo7eB8fM/w4Ory6Pfl8ero5SDu8e3u4vsg4fP14+Dr8uXw8eru4+4g8/fl8uAg4Ory6OLu4iDu8OPg7ejn4Pbo6A==//YjdjNTk1NjctYmI0My00ZjgxLWIwNDctMDU3ZmE0YjJjNWIzfPLl7OB80uXs4CA0fNP35fIg7eXs4PLl8Ojg6/zt+/Ug4Ory6OLu4i4=')"</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4. Учет нематериальных активов.</w:t>
            </w:r>
            <w:r>
              <w:rPr>
                <w:rFonts w:ascii="Times New Roman" w:hAnsi="Times New Roman"/>
                <w:b w:val="1"/>
                <w:sz w:val="24"/>
                <w:highlight w:val="white"/>
              </w:rPr>
              <w:fldChar w:fldCharType="end"/>
            </w:r>
          </w:p>
        </w:tc>
        <w:tc>
          <w:tcPr>
            <w:tcW w:type="dxa" w:w="7480"/>
          </w:tcPr>
          <w:p w14:paraId="73010000">
            <w:pPr>
              <w:ind/>
              <w:jc w:val="both"/>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74010000">
            <w:pPr>
              <w:ind/>
              <w:jc w:val="both"/>
              <w:rPr>
                <w:rFonts w:ascii="Times New Roman" w:hAnsi="Times New Roman"/>
                <w:sz w:val="24"/>
              </w:rPr>
            </w:pPr>
            <w:r>
              <w:rPr>
                <w:rFonts w:ascii="Times New Roman" w:hAnsi="Times New Roman"/>
                <w:sz w:val="24"/>
              </w:rPr>
              <w:t>Понятие, состав, классификация и оценка нематериальных активов. Синтетический и аналитический учет поступления и выбытия нематериальных активов. Особенности начисления амортизации нематериальных активов. Учет НДС по нематериальным, активам. Журнал-ордер № 13, порядок его заполнения.</w:t>
            </w:r>
          </w:p>
        </w:tc>
      </w:tr>
      <w:tr>
        <w:tc>
          <w:tcPr>
            <w:tcW w:type="dxa" w:w="2154"/>
            <w:gridSpan w:val="1"/>
            <w:vMerge w:val="continue"/>
          </w:tcPr>
          <w:p/>
        </w:tc>
        <w:tc>
          <w:tcPr>
            <w:tcW w:type="dxa" w:w="7480"/>
          </w:tcPr>
          <w:p w14:paraId="75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76010000">
            <w:pPr>
              <w:ind/>
              <w:jc w:val="both"/>
              <w:rPr>
                <w:rFonts w:ascii="Times New Roman" w:hAnsi="Times New Roman"/>
                <w:sz w:val="24"/>
              </w:rPr>
            </w:pPr>
            <w:r>
              <w:rPr>
                <w:rFonts w:ascii="Times New Roman" w:hAnsi="Times New Roman"/>
                <w:sz w:val="24"/>
              </w:rPr>
              <w:t xml:space="preserve">Решение кейса «Порядок учета поступления и создание нематериальных активов». </w:t>
            </w:r>
          </w:p>
        </w:tc>
      </w:tr>
      <w:tr>
        <w:tc>
          <w:tcPr>
            <w:tcW w:type="dxa" w:w="2154"/>
            <w:gridSpan w:val="1"/>
            <w:vMerge w:val="continue"/>
          </w:tcPr>
          <w:p/>
        </w:tc>
        <w:tc>
          <w:tcPr>
            <w:tcW w:type="dxa" w:w="7480"/>
          </w:tcPr>
          <w:p w14:paraId="77010000">
            <w:pPr>
              <w:ind/>
              <w:jc w:val="both"/>
              <w:rPr>
                <w:rFonts w:ascii="Times New Roman" w:hAnsi="Times New Roman"/>
                <w:sz w:val="24"/>
              </w:rPr>
            </w:pPr>
            <w:r>
              <w:rPr>
                <w:rFonts w:ascii="Times New Roman" w:hAnsi="Times New Roman"/>
                <w:sz w:val="24"/>
              </w:rPr>
              <w:t>Порядок учета амортизации и выбытия нематериальных активов. Решение ситуационных задач».</w:t>
            </w:r>
          </w:p>
        </w:tc>
      </w:tr>
      <w:tr>
        <w:tc>
          <w:tcPr>
            <w:tcW w:type="dxa" w:w="2154"/>
            <w:vMerge w:val="restart"/>
          </w:tcPr>
          <w:p w14:paraId="78010000">
            <w:pP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ZGE5ZGFmYWItNWMyYi00Y2E2LTg4NjItN2NhYWQ3YTFlYWU1fOTo8fbo7+vo7eB8fM/w4Ory6Pfl8ero5SDu8e3u4vsg4fP14+Dr8uXw8eru4+4g8/fl8uAg4Ory6OLu4iDu8OPg7ejn4Pbo6A==//Njc4YmU2NTEtMDFkNy00ZGE0LWI4ZGEtYTYxNTIxM2I5ZjQ5fPLl7OB80uXs4CA1fNP35fIg5O7r4+7x8O737fv1IOjt4uXx8uj26Okg6CD06O3g7fHu4vv1IOLr7ubl7ejpLg==')"</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5. Учет долгосрочных инвестиций и финансовых вложений.</w:t>
            </w:r>
            <w:r>
              <w:rPr>
                <w:rFonts w:ascii="Times New Roman" w:hAnsi="Times New Roman"/>
                <w:b w:val="1"/>
                <w:sz w:val="24"/>
                <w:highlight w:val="white"/>
              </w:rPr>
              <w:fldChar w:fldCharType="end"/>
            </w:r>
          </w:p>
        </w:tc>
        <w:tc>
          <w:tcPr>
            <w:tcW w:type="dxa" w:w="7480"/>
          </w:tcPr>
          <w:p w14:paraId="79010000">
            <w:pPr>
              <w:ind/>
              <w:jc w:val="both"/>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7A010000">
            <w:pPr>
              <w:ind/>
              <w:jc w:val="both"/>
              <w:rPr>
                <w:rFonts w:ascii="Times New Roman" w:hAnsi="Times New Roman"/>
                <w:sz w:val="24"/>
              </w:rPr>
            </w:pPr>
            <w:r>
              <w:rPr>
                <w:rFonts w:ascii="Times New Roman" w:hAnsi="Times New Roman"/>
                <w:sz w:val="24"/>
              </w:rPr>
              <w:t>Долгосрочные инвестиции, их состав и характеристика. Источники финансирования долгосрочных инвестиций. Принципы учета вложений во внеоборотные активы. Синтетический учет долгосрочных вложений. Документальное оформление операций по учету.</w:t>
            </w:r>
          </w:p>
          <w:p w14:paraId="7B010000">
            <w:pPr>
              <w:ind/>
              <w:jc w:val="both"/>
              <w:rPr>
                <w:rFonts w:ascii="Times New Roman" w:hAnsi="Times New Roman"/>
                <w:sz w:val="24"/>
              </w:rPr>
            </w:pPr>
            <w:r>
              <w:rPr>
                <w:rFonts w:ascii="Times New Roman" w:hAnsi="Times New Roman"/>
                <w:sz w:val="24"/>
              </w:rPr>
              <w:t>Понятие и виды финансовых вложений. Учет затрат на приобретение ценных бумаг (акций, облигаций, сертификатов и т.д.). Учет доходов от финансовых вложений и займов. Документальное оформление операций по учету. Заполнение журнала-ордера № 8 и ведомости № 7.</w:t>
            </w:r>
          </w:p>
        </w:tc>
      </w:tr>
      <w:tr>
        <w:trPr>
          <w:trHeight w:hRule="atLeast" w:val="592"/>
        </w:trPr>
        <w:tc>
          <w:tcPr>
            <w:tcW w:type="dxa" w:w="2154"/>
            <w:gridSpan w:val="1"/>
            <w:vMerge w:val="continue"/>
          </w:tcPr>
          <w:p/>
        </w:tc>
        <w:tc>
          <w:tcPr>
            <w:tcW w:type="dxa" w:w="7480"/>
          </w:tcPr>
          <w:p w14:paraId="7C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7D010000">
            <w:pPr>
              <w:numPr>
                <w:ilvl w:val="0"/>
                <w:numId w:val="2"/>
              </w:numPr>
              <w:ind w:firstLine="0" w:left="0"/>
              <w:rPr>
                <w:rFonts w:ascii="Times New Roman" w:hAnsi="Times New Roman"/>
                <w:b w:val="1"/>
                <w:sz w:val="24"/>
              </w:rPr>
            </w:pPr>
            <w:r>
              <w:rPr>
                <w:rFonts w:ascii="Times New Roman" w:hAnsi="Times New Roman"/>
                <w:sz w:val="24"/>
              </w:rPr>
              <w:t>«Порядок учета долгосрочных инвестиций на счетах бухгалтерского учета. Порядок учета финансовых вложений в уставный капитал других организаций на счетах бухгалтерского учета. Учет финансовых вложений в займы. Решение ситуационных задач»».</w:t>
            </w:r>
          </w:p>
        </w:tc>
      </w:tr>
      <w:tr>
        <w:tc>
          <w:tcPr>
            <w:tcW w:type="dxa" w:w="2154"/>
            <w:gridSpan w:val="1"/>
            <w:vMerge w:val="continue"/>
          </w:tcPr>
          <w:p/>
        </w:tc>
        <w:tc>
          <w:tcPr>
            <w:tcW w:type="dxa" w:w="7480"/>
          </w:tcPr>
          <w:p w14:paraId="7E010000">
            <w:pPr>
              <w:numPr>
                <w:ilvl w:val="0"/>
                <w:numId w:val="2"/>
              </w:numPr>
              <w:ind w:firstLine="0" w:left="0"/>
              <w:rPr>
                <w:rFonts w:ascii="Times New Roman" w:hAnsi="Times New Roman"/>
                <w:b w:val="1"/>
                <w:sz w:val="24"/>
              </w:rPr>
            </w:pPr>
            <w:r>
              <w:rPr>
                <w:rFonts w:ascii="Times New Roman" w:hAnsi="Times New Roman"/>
                <w:sz w:val="24"/>
              </w:rPr>
              <w:t>Решение кейса «Порядок учета финансовых вложений в ценные бумаги».</w:t>
            </w:r>
          </w:p>
        </w:tc>
      </w:tr>
      <w:tr>
        <w:tc>
          <w:tcPr>
            <w:tcW w:type="dxa" w:w="2154"/>
            <w:vMerge w:val="restart"/>
          </w:tcPr>
          <w:p w14:paraId="7F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ZGE5ZGFmYWItNWMyYi00Y2E2LTg4NjItN2NhYWQ3YTFlYWU1fOTo8fbo7+vo7eB8fM/w4Ory6Pfl8ero5SDu8e3u4vsg4fP14+Dr8uXw8eru4+4g8/fl8uAg4Ory6OLu4iDu8OPg7ejn4Pbo6A==//ODEzYzM3YjMtMWRiZC00MzMwLTg4MmItOWE2NmU2ZjlkMGZhfPLl7OB80uXs4CA2fNP35fIg7ODy5fDo4Ov87e4t7/Du6Ofi7uTx8uLl7e379SDn4O/g8e7i')"</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6. Учет запасов</w:t>
            </w:r>
            <w:r>
              <w:rPr>
                <w:rFonts w:ascii="Times New Roman" w:hAnsi="Times New Roman"/>
                <w:b w:val="1"/>
                <w:sz w:val="24"/>
                <w:highlight w:val="white"/>
              </w:rPr>
              <w:fldChar w:fldCharType="end"/>
            </w:r>
          </w:p>
        </w:tc>
        <w:tc>
          <w:tcPr>
            <w:tcW w:type="dxa" w:w="7480"/>
          </w:tcPr>
          <w:p w14:paraId="80010000">
            <w:pPr>
              <w:ind/>
              <w:jc w:val="both"/>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81010000">
            <w:pPr>
              <w:ind/>
              <w:jc w:val="both"/>
              <w:rPr>
                <w:rFonts w:ascii="Times New Roman" w:hAnsi="Times New Roman"/>
                <w:sz w:val="24"/>
              </w:rPr>
            </w:pPr>
            <w:r>
              <w:rPr>
                <w:rFonts w:ascii="Times New Roman" w:hAnsi="Times New Roman"/>
                <w:sz w:val="24"/>
              </w:rPr>
              <w:t>Понятие, классификация, оценка и основные задачи учета запасов. Фактические затраты при приобретении производственных запасов. Оценка запасов в балансе и текущем учете: фактическая себестоимость приобретения, средняя себестоимость, учетные цены. Метод ФИФО, средней себестоимости. Документальное оформление движения производственных запасов согласно унифицированным первичным документам по учету материалов.</w:t>
            </w:r>
          </w:p>
          <w:p w14:paraId="82010000">
            <w:pPr>
              <w:ind/>
              <w:jc w:val="both"/>
              <w:rPr>
                <w:rFonts w:ascii="Times New Roman" w:hAnsi="Times New Roman"/>
                <w:sz w:val="24"/>
              </w:rPr>
            </w:pPr>
            <w:r>
              <w:rPr>
                <w:rFonts w:ascii="Times New Roman" w:hAnsi="Times New Roman"/>
                <w:sz w:val="24"/>
              </w:rPr>
              <w:t xml:space="preserve">Методы учета материалов: бухгалтерский и сальдовый. </w:t>
            </w:r>
            <w:r>
              <w:rPr>
                <w:rFonts w:ascii="Times New Roman" w:hAnsi="Times New Roman"/>
                <w:sz w:val="24"/>
              </w:rPr>
              <w:t>Взаимосверка</w:t>
            </w:r>
            <w:r>
              <w:rPr>
                <w:rFonts w:ascii="Times New Roman" w:hAnsi="Times New Roman"/>
                <w:sz w:val="24"/>
              </w:rPr>
              <w:t xml:space="preserve"> данных складского учета с данными бухгалтерского учета при сальдовом и при бухгалтерском методах учета. Аналитический учет производственных запасов.</w:t>
            </w:r>
          </w:p>
          <w:p w14:paraId="83010000">
            <w:pPr>
              <w:ind/>
              <w:jc w:val="both"/>
              <w:rPr>
                <w:rFonts w:ascii="Times New Roman" w:hAnsi="Times New Roman"/>
                <w:sz w:val="24"/>
              </w:rPr>
            </w:pPr>
            <w:r>
              <w:rPr>
                <w:rFonts w:ascii="Times New Roman" w:hAnsi="Times New Roman"/>
                <w:sz w:val="24"/>
              </w:rPr>
              <w:t xml:space="preserve">Синтетический учет движения материалов. Учет </w:t>
            </w:r>
            <w:r>
              <w:rPr>
                <w:rFonts w:ascii="Times New Roman" w:hAnsi="Times New Roman"/>
                <w:sz w:val="24"/>
              </w:rPr>
              <w:t>неотфактурованных</w:t>
            </w:r>
            <w:r>
              <w:rPr>
                <w:rFonts w:ascii="Times New Roman" w:hAnsi="Times New Roman"/>
                <w:sz w:val="24"/>
              </w:rPr>
              <w:t xml:space="preserve"> поставок и материалов в пути. Варианты учета поступления материалов. Учет продажи материалов. Особенности учета НДС при приобретении материалов и их продаже.</w:t>
            </w:r>
          </w:p>
          <w:p w14:paraId="84010000">
            <w:pPr>
              <w:ind/>
              <w:jc w:val="both"/>
              <w:rPr>
                <w:rFonts w:ascii="Times New Roman" w:hAnsi="Times New Roman"/>
                <w:sz w:val="24"/>
              </w:rPr>
            </w:pPr>
            <w:r>
              <w:rPr>
                <w:rFonts w:ascii="Times New Roman" w:hAnsi="Times New Roman"/>
                <w:sz w:val="24"/>
              </w:rPr>
              <w:t>Понятие транспортно-заготовительных расходов. Расчет ТЗР и их учет. Распределение транспортно-заготовительных расходов между остатками материалов на складе и их отпуском.</w:t>
            </w:r>
          </w:p>
        </w:tc>
      </w:tr>
      <w:tr>
        <w:tc>
          <w:tcPr>
            <w:tcW w:type="dxa" w:w="2154"/>
            <w:gridSpan w:val="1"/>
            <w:vMerge w:val="continue"/>
          </w:tcPr>
          <w:p/>
        </w:tc>
        <w:tc>
          <w:tcPr>
            <w:tcW w:type="dxa" w:w="7480"/>
          </w:tcPr>
          <w:p w14:paraId="85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86010000">
            <w:pPr>
              <w:numPr>
                <w:ilvl w:val="0"/>
                <w:numId w:val="3"/>
              </w:numPr>
              <w:ind w:hanging="315" w:left="0"/>
              <w:rPr>
                <w:rFonts w:ascii="Times New Roman" w:hAnsi="Times New Roman"/>
                <w:b w:val="1"/>
                <w:sz w:val="24"/>
              </w:rPr>
            </w:pPr>
            <w:r>
              <w:rPr>
                <w:rFonts w:ascii="Times New Roman" w:hAnsi="Times New Roman"/>
                <w:sz w:val="24"/>
              </w:rPr>
              <w:t xml:space="preserve">Решение кейса «Заполнение первичных документов по движению запасов». </w:t>
            </w:r>
          </w:p>
        </w:tc>
      </w:tr>
      <w:tr>
        <w:tc>
          <w:tcPr>
            <w:tcW w:type="dxa" w:w="2154"/>
            <w:gridSpan w:val="1"/>
            <w:vMerge w:val="continue"/>
          </w:tcPr>
          <w:p/>
        </w:tc>
        <w:tc>
          <w:tcPr>
            <w:tcW w:type="dxa" w:w="7480"/>
          </w:tcPr>
          <w:p w14:paraId="87010000">
            <w:pPr>
              <w:numPr>
                <w:ilvl w:val="0"/>
                <w:numId w:val="3"/>
              </w:numPr>
              <w:ind w:hanging="315" w:left="0"/>
              <w:rPr>
                <w:rFonts w:ascii="Times New Roman" w:hAnsi="Times New Roman"/>
                <w:sz w:val="24"/>
              </w:rPr>
            </w:pPr>
            <w:r>
              <w:rPr>
                <w:rFonts w:ascii="Times New Roman" w:hAnsi="Times New Roman"/>
                <w:sz w:val="24"/>
              </w:rPr>
              <w:t>Решение кейса «Учет транспортно-заготовительных расходов».</w:t>
            </w:r>
          </w:p>
        </w:tc>
      </w:tr>
      <w:tr>
        <w:tc>
          <w:tcPr>
            <w:tcW w:type="dxa" w:w="2154"/>
            <w:gridSpan w:val="1"/>
            <w:vMerge w:val="continue"/>
          </w:tcPr>
          <w:p/>
        </w:tc>
        <w:tc>
          <w:tcPr>
            <w:tcW w:type="dxa" w:w="7480"/>
          </w:tcPr>
          <w:p w14:paraId="88010000">
            <w:pPr>
              <w:numPr>
                <w:ilvl w:val="0"/>
                <w:numId w:val="3"/>
              </w:numPr>
              <w:ind w:hanging="315" w:left="0"/>
              <w:rPr>
                <w:rFonts w:ascii="Times New Roman" w:hAnsi="Times New Roman"/>
                <w:b w:val="1"/>
                <w:sz w:val="24"/>
              </w:rPr>
            </w:pPr>
            <w:r>
              <w:rPr>
                <w:rFonts w:ascii="Times New Roman" w:hAnsi="Times New Roman"/>
                <w:sz w:val="24"/>
              </w:rPr>
              <w:t>Решение кейса «Отпуск материалов в производство. Отчеты по движению запасов».</w:t>
            </w:r>
          </w:p>
        </w:tc>
      </w:tr>
      <w:tr>
        <w:tc>
          <w:tcPr>
            <w:tcW w:type="dxa" w:w="2154"/>
            <w:vMerge w:val="restart"/>
          </w:tcPr>
          <w:p w14:paraId="89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ZGE5ZGFmYWItNWMyYi00Y2E2LTg4NjItN2NhYWQ3YTFlYWU1fOTo8fbo7+vo7eB8fM/w4Ory6Pfl8ero5SDu8e3u4vsg4fP14+Dr8uXw8eru4+4g8/fl8uAg4Ory6OLu4iDu8OPg7ejn4Pbo6A==//NDY5YjU0NTYtMzdjOC00Njc5LWJiYTItMzhlZGNmZjZhYWRkfPLl7OB80uXs4CA3fNP35fIg5+Dy8ODyIO3gIO/w7ujn4u7k8fLi7iDv8O7k8+r26OggKPDg4e7yLCDz8evz4ykg6CDq4Ov86vPr6PDu4uDt6OUg8eXh5fHy7ujs7vHy6C4=')"</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7. Учет затрат на производство продукции (работ, услуг) и калькулирование себестоимости.</w:t>
            </w:r>
            <w:r>
              <w:rPr>
                <w:rFonts w:ascii="Times New Roman" w:hAnsi="Times New Roman"/>
                <w:b w:val="1"/>
                <w:sz w:val="24"/>
                <w:highlight w:val="white"/>
              </w:rPr>
              <w:fldChar w:fldCharType="end"/>
            </w:r>
          </w:p>
        </w:tc>
        <w:tc>
          <w:tcPr>
            <w:tcW w:type="dxa" w:w="7480"/>
          </w:tcPr>
          <w:p w14:paraId="8A010000">
            <w:pPr>
              <w:ind/>
              <w:jc w:val="both"/>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8B010000">
            <w:pPr>
              <w:ind/>
              <w:jc w:val="both"/>
              <w:rPr>
                <w:rFonts w:ascii="Times New Roman" w:hAnsi="Times New Roman"/>
                <w:sz w:val="24"/>
              </w:rPr>
            </w:pPr>
            <w:r>
              <w:rPr>
                <w:rFonts w:ascii="Times New Roman" w:hAnsi="Times New Roman"/>
                <w:sz w:val="24"/>
              </w:rPr>
              <w:t xml:space="preserve">Понятие и система учета затрат. Классификация затрат. Учет затрат и калькулирование в системе управления себестоимостью продукции. Принципы организации учета затрат на производство и калькулирование себестоимости продукции. Понятие расходов организации и определение их величины. Признание расходов организации. Группировка расходов. Синтетический и аналитический </w:t>
            </w:r>
            <w:r>
              <w:rPr>
                <w:rFonts w:ascii="Times New Roman" w:hAnsi="Times New Roman"/>
                <w:sz w:val="24"/>
              </w:rPr>
              <w:t>учет затрат основного производства. Учет расходов будущих периодов. Учет предстоящих расходов и платежей. Документальное оформление операций по учету.</w:t>
            </w:r>
          </w:p>
          <w:p w14:paraId="8C010000">
            <w:pPr>
              <w:ind/>
              <w:jc w:val="both"/>
              <w:rPr>
                <w:rFonts w:ascii="Times New Roman" w:hAnsi="Times New Roman"/>
                <w:sz w:val="24"/>
              </w:rPr>
            </w:pPr>
            <w:r>
              <w:rPr>
                <w:rFonts w:ascii="Times New Roman" w:hAnsi="Times New Roman"/>
                <w:sz w:val="24"/>
              </w:rPr>
              <w:t>Понятие накладных расходов. Планирование и учет общехозяйственных и общепроизводственных расходов. Синтетический учет накладных расходов. Распределение общехозяйственных и общепроизводственных расходов, порядок их списания. Документальное оформление операций по учету. Учетные регистры и порядок их заполнения.</w:t>
            </w:r>
          </w:p>
          <w:p w14:paraId="8D010000">
            <w:pPr>
              <w:ind/>
              <w:jc w:val="both"/>
              <w:rPr>
                <w:rFonts w:ascii="Times New Roman" w:hAnsi="Times New Roman"/>
                <w:sz w:val="24"/>
              </w:rPr>
            </w:pPr>
            <w:r>
              <w:rPr>
                <w:rFonts w:ascii="Times New Roman" w:hAnsi="Times New Roman"/>
                <w:sz w:val="24"/>
              </w:rPr>
              <w:t>Понятие и виды вспомогательных производств. Синтетический и аналитический учет затрат вспомогательных производств. Особенности калькулирования себестоимости продукции и услуг вспомогательных производств. Распределение услуг вспомогательных производств. Учетные регистры, порядок их заполнения.</w:t>
            </w:r>
          </w:p>
          <w:p w14:paraId="8E010000">
            <w:pPr>
              <w:ind/>
              <w:jc w:val="both"/>
              <w:rPr>
                <w:rFonts w:ascii="Times New Roman" w:hAnsi="Times New Roman"/>
                <w:sz w:val="24"/>
              </w:rPr>
            </w:pPr>
            <w:r>
              <w:rPr>
                <w:rFonts w:ascii="Times New Roman" w:hAnsi="Times New Roman"/>
                <w:sz w:val="24"/>
              </w:rPr>
              <w:t>Состав незавершенного производства. Данные оперативно-технического учета. Инвентаризация и оценка остатков незавершенного производства. Определение фактической производственной себестоимость выпущенной продукции при наличии остатков незавершенного производства. Синтетический и аналитический учет остатков незавершенного производства. Этапы учетных работ при осуществлении сводного учета затрат на производство. Учетные регистры, порядок их заполнения.</w:t>
            </w:r>
          </w:p>
          <w:p w14:paraId="8F010000">
            <w:pPr>
              <w:ind/>
              <w:jc w:val="both"/>
              <w:rPr>
                <w:rFonts w:ascii="Times New Roman" w:hAnsi="Times New Roman"/>
                <w:sz w:val="24"/>
              </w:rPr>
            </w:pPr>
            <w:r>
              <w:rPr>
                <w:rFonts w:ascii="Times New Roman" w:hAnsi="Times New Roman"/>
                <w:sz w:val="24"/>
              </w:rPr>
              <w:t>Состав, характеристика и учет брака. Виды брака. Оценка потерь от брака. Документальное оформление брака. Учет потерь от простоев, порчи и недостачи материальных ресурсов. Порядок включения в себестоимость выпускаемой продукции, потерь от брака, простоев, порчи и недостач. Синтетический и аналитический учет непроизводственных расходов и потерь. Учетные регистры и порядок их заполнения.</w:t>
            </w:r>
          </w:p>
          <w:p w14:paraId="90010000">
            <w:pPr>
              <w:ind/>
              <w:jc w:val="both"/>
              <w:rPr>
                <w:rFonts w:ascii="Times New Roman" w:hAnsi="Times New Roman"/>
                <w:sz w:val="24"/>
              </w:rPr>
            </w:pPr>
            <w:r>
              <w:rPr>
                <w:rFonts w:ascii="Times New Roman" w:hAnsi="Times New Roman"/>
                <w:sz w:val="24"/>
              </w:rPr>
              <w:t xml:space="preserve">Понятие метода калькулирования себестоимости и варианты калькуляционных расчетов. Классификация и выбор метода калькулирования себестоимости. Характеристика </w:t>
            </w:r>
            <w:r>
              <w:rPr>
                <w:rFonts w:ascii="Times New Roman" w:hAnsi="Times New Roman"/>
                <w:sz w:val="24"/>
              </w:rPr>
              <w:t>попередельного</w:t>
            </w:r>
            <w:r>
              <w:rPr>
                <w:rFonts w:ascii="Times New Roman" w:hAnsi="Times New Roman"/>
                <w:sz w:val="24"/>
              </w:rPr>
              <w:t xml:space="preserve">  метода калькулирования и его разновидностей. Область и особенности применения позаказного метода калькулирования.</w:t>
            </w:r>
          </w:p>
        </w:tc>
      </w:tr>
      <w:tr>
        <w:tc>
          <w:tcPr>
            <w:tcW w:type="dxa" w:w="2154"/>
            <w:gridSpan w:val="1"/>
            <w:vMerge w:val="continue"/>
          </w:tcPr>
          <w:p/>
        </w:tc>
        <w:tc>
          <w:tcPr>
            <w:tcW w:type="dxa" w:w="7480"/>
          </w:tcPr>
          <w:p w14:paraId="91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92010000">
            <w:pPr>
              <w:ind/>
              <w:jc w:val="both"/>
              <w:rPr>
                <w:rFonts w:ascii="Times New Roman" w:hAnsi="Times New Roman"/>
                <w:b w:val="1"/>
                <w:sz w:val="24"/>
              </w:rPr>
            </w:pPr>
            <w:r>
              <w:rPr>
                <w:rFonts w:ascii="Times New Roman" w:hAnsi="Times New Roman"/>
                <w:sz w:val="24"/>
              </w:rPr>
              <w:t xml:space="preserve">1. Решение кейса «Расчет фактической производственной себестоимости». </w:t>
            </w:r>
          </w:p>
        </w:tc>
      </w:tr>
      <w:tr>
        <w:tc>
          <w:tcPr>
            <w:tcW w:type="dxa" w:w="2154"/>
            <w:gridSpan w:val="1"/>
            <w:vMerge w:val="continue"/>
          </w:tcPr>
          <w:p/>
        </w:tc>
        <w:tc>
          <w:tcPr>
            <w:tcW w:type="dxa" w:w="7480"/>
          </w:tcPr>
          <w:p w14:paraId="93010000">
            <w:pPr>
              <w:ind/>
              <w:jc w:val="both"/>
              <w:rPr>
                <w:rFonts w:ascii="Times New Roman" w:hAnsi="Times New Roman"/>
                <w:sz w:val="24"/>
              </w:rPr>
            </w:pPr>
            <w:r>
              <w:rPr>
                <w:rFonts w:ascii="Times New Roman" w:hAnsi="Times New Roman"/>
                <w:sz w:val="24"/>
              </w:rPr>
              <w:t>2. Решение кейса «Расчет суммы общехозяйственных и общепроизводственных расходов и их списание».</w:t>
            </w:r>
          </w:p>
        </w:tc>
      </w:tr>
      <w:tr>
        <w:tc>
          <w:tcPr>
            <w:tcW w:type="dxa" w:w="2154"/>
            <w:vMerge w:val="restart"/>
          </w:tcPr>
          <w:p w14:paraId="94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Zjg0MmY1NGMtNmZjZi00NzU0LTlkNTEtYzg4YmM1NjE5YWMwfOTo8fbo7+vo7eB8fM/w4Ory6Pfl8ero5SDu8e3u4vsg4fP14+Dr8uXw8eru4+4g8/fl8uAg4Ory6OLu4iDu8OPg7ejn4Pbo6A==//YmU4NzJmNGMtZjk3OS00MGRiLThkNzItZTVhMmUwY2Q4ZWI4fPLl7OB80uXs4CA4fNP35fIg4+7y7uLu6SDv8O7k8+r26Ogg6CDl5SDv8O7k4Obo')"</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8. Учет готовой продукции и ее продажи</w:t>
            </w:r>
            <w:r>
              <w:rPr>
                <w:rFonts w:ascii="Times New Roman" w:hAnsi="Times New Roman"/>
                <w:b w:val="1"/>
                <w:sz w:val="24"/>
                <w:highlight w:val="white"/>
              </w:rPr>
              <w:fldChar w:fldCharType="end"/>
            </w:r>
          </w:p>
        </w:tc>
        <w:tc>
          <w:tcPr>
            <w:tcW w:type="dxa" w:w="7480"/>
          </w:tcPr>
          <w:p w14:paraId="95010000">
            <w:pPr>
              <w:ind/>
              <w:jc w:val="both"/>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96010000">
            <w:pPr>
              <w:ind/>
              <w:jc w:val="both"/>
              <w:rPr>
                <w:rFonts w:ascii="Times New Roman" w:hAnsi="Times New Roman"/>
                <w:sz w:val="24"/>
              </w:rPr>
            </w:pPr>
            <w:r>
              <w:rPr>
                <w:rFonts w:ascii="Times New Roman" w:hAnsi="Times New Roman"/>
                <w:sz w:val="24"/>
              </w:rPr>
              <w:t>Понятие и состав готовой продукции (работ, услуг). Оценка готовой продукции на складе и в бухгалтерии. Синтетический и аналитический учет готовой продукции. Понятие отгруженной продукции. Договор поставки. Документальное оформление; учет и оценка отгруженной продукции.</w:t>
            </w:r>
          </w:p>
          <w:p w14:paraId="97010000">
            <w:pPr>
              <w:ind/>
              <w:jc w:val="both"/>
              <w:rPr>
                <w:rFonts w:ascii="Times New Roman" w:hAnsi="Times New Roman"/>
                <w:sz w:val="24"/>
              </w:rPr>
            </w:pPr>
            <w:r>
              <w:rPr>
                <w:rFonts w:ascii="Times New Roman" w:hAnsi="Times New Roman"/>
                <w:sz w:val="24"/>
              </w:rPr>
              <w:t>Понятие проданной продукции, выполненных работ и оказанных услуг. Технология реализации готовой продукции (работ, услуг). Документальное оформление и учет продажи продукции. Способы отражения продажи продукции на синтетических счетах. Учет выручки от реализации продукции (работ, услуг). Учет НДС по продаже продукции, выполнении работ и оказании услуг.</w:t>
            </w:r>
          </w:p>
          <w:p w14:paraId="98010000">
            <w:pPr>
              <w:ind/>
              <w:jc w:val="both"/>
              <w:rPr>
                <w:rFonts w:ascii="Times New Roman" w:hAnsi="Times New Roman"/>
                <w:sz w:val="24"/>
              </w:rPr>
            </w:pPr>
            <w:r>
              <w:rPr>
                <w:rFonts w:ascii="Times New Roman" w:hAnsi="Times New Roman"/>
                <w:sz w:val="24"/>
              </w:rPr>
              <w:t>Понятие расходов на продажу. Синтетический и аналитический учет расходов на продажу, их распределение и списание. Учетные регистры и порядок их заполнения.</w:t>
            </w:r>
          </w:p>
        </w:tc>
      </w:tr>
      <w:tr>
        <w:tc>
          <w:tcPr>
            <w:tcW w:type="dxa" w:w="2154"/>
            <w:gridSpan w:val="1"/>
            <w:vMerge w:val="continue"/>
          </w:tcPr>
          <w:p/>
        </w:tc>
        <w:tc>
          <w:tcPr>
            <w:tcW w:type="dxa" w:w="7480"/>
          </w:tcPr>
          <w:p w14:paraId="99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9A010000">
            <w:pPr>
              <w:numPr>
                <w:ilvl w:val="0"/>
                <w:numId w:val="4"/>
              </w:numPr>
              <w:ind w:hanging="314" w:left="0"/>
              <w:rPr>
                <w:rFonts w:ascii="Times New Roman" w:hAnsi="Times New Roman"/>
                <w:sz w:val="24"/>
              </w:rPr>
            </w:pPr>
            <w:r>
              <w:rPr>
                <w:rFonts w:ascii="Times New Roman" w:hAnsi="Times New Roman"/>
                <w:sz w:val="24"/>
              </w:rPr>
              <w:t>«Составление первичных документов по учету готовой продукции, их проверка и бухгалтерская обработка. Учет продажи готовой продукции и результатов от продажи. Учет оказанных услуг. Решение ситуационных задач».</w:t>
            </w:r>
          </w:p>
        </w:tc>
      </w:tr>
      <w:tr>
        <w:tc>
          <w:tcPr>
            <w:tcW w:type="dxa" w:w="2154"/>
            <w:gridSpan w:val="1"/>
            <w:vMerge w:val="continue"/>
          </w:tcPr>
          <w:p/>
        </w:tc>
        <w:tc>
          <w:tcPr>
            <w:tcW w:type="dxa" w:w="7480"/>
          </w:tcPr>
          <w:p w14:paraId="9B010000">
            <w:pPr>
              <w:numPr>
                <w:ilvl w:val="0"/>
                <w:numId w:val="4"/>
              </w:numPr>
              <w:ind w:hanging="316" w:left="0"/>
              <w:rPr>
                <w:rFonts w:ascii="Times New Roman" w:hAnsi="Times New Roman"/>
                <w:sz w:val="24"/>
              </w:rPr>
            </w:pPr>
            <w:r>
              <w:rPr>
                <w:rFonts w:ascii="Times New Roman" w:hAnsi="Times New Roman"/>
                <w:sz w:val="24"/>
              </w:rPr>
              <w:t>Решение кейса «Документальное оформление движения готовой продукции. Определение и списание расходов по продаже продукции, выполнению работ и услуг».</w:t>
            </w:r>
          </w:p>
        </w:tc>
      </w:tr>
      <w:tr>
        <w:tc>
          <w:tcPr>
            <w:tcW w:type="dxa" w:w="2154"/>
            <w:vMerge w:val="restart"/>
          </w:tcPr>
          <w:p w14:paraId="9C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Zjg0MmY1NGMtNmZjZi00NzU0LTlkNTEtYzg4YmM1NjE5YWMwfOTo8fbo7+vo7eB8fM/w4Ory6Pfl8ero5SDu8e3u4vsg4fP14+Dr8uXw8eru4+4g8/fl8uAg4Ory6OLu4iDu8OPg7ejn4Pbo6A==//NTQ4ZjNlMTMtYjRjZS00ZWE2LTk2Y2YtOGJiYmNlNWVmN2FlfPLl7OB80uXs4CA5fNP35fIg8uXq8/no9SDu7+Xw4Pbo6SDoIPDg8ffl8u7iLg==')"</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9. Учет текущих операций и расчетов.</w:t>
            </w:r>
            <w:r>
              <w:rPr>
                <w:rFonts w:ascii="Times New Roman" w:hAnsi="Times New Roman"/>
                <w:b w:val="1"/>
                <w:sz w:val="24"/>
                <w:highlight w:val="white"/>
              </w:rPr>
              <w:fldChar w:fldCharType="end"/>
            </w:r>
          </w:p>
        </w:tc>
        <w:tc>
          <w:tcPr>
            <w:tcW w:type="dxa" w:w="7480"/>
          </w:tcPr>
          <w:p w14:paraId="9D010000">
            <w:pPr>
              <w:ind/>
              <w:jc w:val="both"/>
              <w:rPr>
                <w:rFonts w:ascii="Times New Roman" w:hAnsi="Times New Roman"/>
                <w:b w:val="1"/>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9E010000">
            <w:pPr>
              <w:ind/>
              <w:jc w:val="both"/>
              <w:rPr>
                <w:rFonts w:ascii="Times New Roman" w:hAnsi="Times New Roman"/>
                <w:sz w:val="24"/>
              </w:rPr>
            </w:pPr>
            <w:r>
              <w:rPr>
                <w:rFonts w:ascii="Times New Roman" w:hAnsi="Times New Roman"/>
                <w:sz w:val="24"/>
              </w:rPr>
              <w:t>Понятие дебиторской и кредиторской задолженности. Списание задолженности по срокам исковой давности. Расчеты по товарным и нетоварным операциям. Особенности расчетов с покупателями и заказчиками, поставщиками и подрядчиками. Синтетический и аналитический учет расчетов. Формы расчетов. Документальное оформление операций.</w:t>
            </w:r>
          </w:p>
          <w:p w14:paraId="9F010000">
            <w:pPr>
              <w:ind/>
              <w:jc w:val="both"/>
              <w:rPr>
                <w:rFonts w:ascii="Times New Roman" w:hAnsi="Times New Roman"/>
                <w:b w:val="1"/>
                <w:sz w:val="24"/>
              </w:rPr>
            </w:pPr>
            <w:r>
              <w:rPr>
                <w:rFonts w:ascii="Times New Roman" w:hAnsi="Times New Roman"/>
                <w:sz w:val="24"/>
              </w:rPr>
              <w:t>Подотчетные суммы. Понятие хозяйственных представительских, командировочных расходов. Отчетность подотчетных лиц. Порядок выдачи денег, возмещение расходов по командировкам. Журнал-ордер № 7, порядок его заполнения. Расчеты с персоналом по прочим операциям. Синтетический и аналитический учет расчетов с работниками и подотчетными лицами. Документальное оформление операций.</w:t>
            </w:r>
          </w:p>
        </w:tc>
      </w:tr>
      <w:tr>
        <w:tc>
          <w:tcPr>
            <w:tcW w:type="dxa" w:w="2154"/>
            <w:gridSpan w:val="1"/>
            <w:vMerge w:val="continue"/>
          </w:tcPr>
          <w:p/>
        </w:tc>
        <w:tc>
          <w:tcPr>
            <w:tcW w:type="dxa" w:w="7480"/>
          </w:tcPr>
          <w:p w14:paraId="A0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A1010000">
            <w:pPr>
              <w:numPr>
                <w:ilvl w:val="0"/>
                <w:numId w:val="5"/>
              </w:numPr>
              <w:ind w:hanging="314" w:left="0"/>
              <w:rPr>
                <w:rFonts w:ascii="Times New Roman" w:hAnsi="Times New Roman"/>
                <w:sz w:val="24"/>
              </w:rPr>
            </w:pPr>
            <w:r>
              <w:rPr>
                <w:rFonts w:ascii="Times New Roman" w:hAnsi="Times New Roman"/>
                <w:sz w:val="24"/>
              </w:rPr>
              <w:t>«Учет расчетов с разными дебиторами и кредиторами. Решение ситуационных задач».</w:t>
            </w:r>
          </w:p>
        </w:tc>
      </w:tr>
      <w:tr>
        <w:tc>
          <w:tcPr>
            <w:tcW w:type="dxa" w:w="2154"/>
            <w:gridSpan w:val="1"/>
            <w:vMerge w:val="continue"/>
          </w:tcPr>
          <w:p/>
        </w:tc>
        <w:tc>
          <w:tcPr>
            <w:tcW w:type="dxa" w:w="7480"/>
          </w:tcPr>
          <w:p w14:paraId="A2010000">
            <w:pPr>
              <w:numPr>
                <w:ilvl w:val="0"/>
                <w:numId w:val="5"/>
              </w:numPr>
              <w:ind w:hanging="314" w:left="0"/>
              <w:rPr>
                <w:rFonts w:ascii="Times New Roman" w:hAnsi="Times New Roman"/>
                <w:sz w:val="24"/>
              </w:rPr>
            </w:pPr>
            <w:r>
              <w:rPr>
                <w:rFonts w:ascii="Times New Roman" w:hAnsi="Times New Roman"/>
                <w:sz w:val="24"/>
              </w:rPr>
              <w:t>«Учет расчетов с подотчетными лицами. Решение ситуационных задач».</w:t>
            </w:r>
          </w:p>
        </w:tc>
      </w:tr>
      <w:tr>
        <w:tc>
          <w:tcPr>
            <w:tcW w:type="dxa" w:w="2154"/>
            <w:gridSpan w:val="1"/>
            <w:vMerge w:val="continue"/>
          </w:tcPr>
          <w:p/>
        </w:tc>
        <w:tc>
          <w:tcPr>
            <w:tcW w:type="dxa" w:w="7480"/>
          </w:tcPr>
          <w:p w14:paraId="A3010000">
            <w:pPr>
              <w:numPr>
                <w:ilvl w:val="0"/>
                <w:numId w:val="5"/>
              </w:numPr>
              <w:ind w:hanging="316" w:left="0"/>
              <w:rPr>
                <w:rFonts w:ascii="Times New Roman" w:hAnsi="Times New Roman"/>
                <w:sz w:val="24"/>
              </w:rPr>
            </w:pPr>
            <w:r>
              <w:rPr>
                <w:rFonts w:ascii="Times New Roman" w:hAnsi="Times New Roman"/>
                <w:sz w:val="24"/>
              </w:rPr>
              <w:t>«Учет расчетов с персоналом Решение ситуационных задач».</w:t>
            </w:r>
          </w:p>
        </w:tc>
      </w:tr>
      <w:tr>
        <w:tc>
          <w:tcPr>
            <w:tcW w:type="dxa" w:w="2154"/>
            <w:gridSpan w:val="1"/>
            <w:vMerge w:val="continue"/>
          </w:tcPr>
          <w:p/>
        </w:tc>
        <w:tc>
          <w:tcPr>
            <w:tcW w:type="dxa" w:w="7480"/>
          </w:tcPr>
          <w:p w14:paraId="A4010000">
            <w:pPr>
              <w:numPr>
                <w:ilvl w:val="0"/>
                <w:numId w:val="5"/>
              </w:numPr>
              <w:ind w:hanging="316" w:left="0"/>
              <w:rPr>
                <w:rFonts w:ascii="Times New Roman" w:hAnsi="Times New Roman"/>
                <w:sz w:val="24"/>
              </w:rPr>
            </w:pPr>
            <w:r>
              <w:rPr>
                <w:rFonts w:ascii="Times New Roman" w:hAnsi="Times New Roman"/>
                <w:sz w:val="24"/>
              </w:rPr>
              <w:t>«</w:t>
            </w:r>
            <w:r>
              <w:rPr>
                <w:rFonts w:ascii="Times New Roman" w:hAnsi="Times New Roman"/>
                <w:sz w:val="24"/>
              </w:rPr>
              <w:t>Учет расчетов с покупателями и заказчиками. Решение ситуационных задач».</w:t>
            </w:r>
          </w:p>
        </w:tc>
      </w:tr>
      <w:tr>
        <w:tc>
          <w:tcPr>
            <w:tcW w:type="dxa" w:w="2154"/>
            <w:vMerge w:val="restart"/>
          </w:tcPr>
          <w:p w14:paraId="A5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Zjg0MmY1NGMtNmZjZi00NzU0LTlkNTEtYzg4YmM1NjE5YWMwfOTo8fbo7+vo7eB8fM/w4Ory6Pfl8ero5SDu8e3u4vsg4fP14+Dr8uXw8eru4+4g8/fl8uAg4Ory6OLu4iDu8OPg7ejn4Pbo6A==//MTBlMGI1ZTMtNGM0OC00MTZlLWE1ZTktYjI3N2Q1MTA5OTRifPLl7OB80uXs4CAxMHzT9+XyIPLw8+TgIOgg5+Dw4OHu8u3u6SDv6+Dy+w==')"</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10. Учет труда и заработной платы</w:t>
            </w:r>
            <w:r>
              <w:rPr>
                <w:rFonts w:ascii="Times New Roman" w:hAnsi="Times New Roman"/>
                <w:b w:val="1"/>
                <w:sz w:val="24"/>
                <w:highlight w:val="white"/>
              </w:rPr>
              <w:fldChar w:fldCharType="end"/>
            </w:r>
          </w:p>
        </w:tc>
        <w:tc>
          <w:tcPr>
            <w:tcW w:type="dxa" w:w="7480"/>
          </w:tcPr>
          <w:p w14:paraId="A6010000">
            <w:pPr>
              <w:ind/>
              <w:jc w:val="both"/>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A7010000">
            <w:pPr>
              <w:ind/>
              <w:jc w:val="both"/>
              <w:rPr>
                <w:rFonts w:ascii="Times New Roman" w:hAnsi="Times New Roman"/>
                <w:sz w:val="24"/>
              </w:rPr>
            </w:pPr>
            <w:r>
              <w:rPr>
                <w:rFonts w:ascii="Times New Roman" w:hAnsi="Times New Roman"/>
                <w:sz w:val="24"/>
              </w:rPr>
              <w:t>Документальное оформление учета численности работников, отработанного времени и выработки. Виды, формы и системы оплаты труда. Порядок расчета средств на оплату труда. Начисление заработной платы при повременной и сдельной формах оплаты труда, оплата работы в сверхурочное и ночное время, в выходные и праздничные дни. Порядок расчета оплаты отпусков. Расчет пособий по временной нетрудоспособности. Синтетический и аналитический учет расчетов по оплате труда. Документальное оформление операций по учету.</w:t>
            </w:r>
          </w:p>
        </w:tc>
      </w:tr>
      <w:tr>
        <w:tc>
          <w:tcPr>
            <w:tcW w:type="dxa" w:w="2154"/>
            <w:gridSpan w:val="1"/>
            <w:vMerge w:val="continue"/>
          </w:tcPr>
          <w:p/>
        </w:tc>
        <w:tc>
          <w:tcPr>
            <w:tcW w:type="dxa" w:w="7480"/>
          </w:tcPr>
          <w:p w14:paraId="A8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A9010000">
            <w:pPr>
              <w:ind/>
              <w:jc w:val="both"/>
              <w:rPr>
                <w:rFonts w:ascii="Times New Roman" w:hAnsi="Times New Roman"/>
                <w:sz w:val="24"/>
              </w:rPr>
            </w:pPr>
            <w:r>
              <w:rPr>
                <w:rFonts w:ascii="Times New Roman" w:hAnsi="Times New Roman"/>
                <w:sz w:val="24"/>
              </w:rPr>
              <w:t xml:space="preserve">1. «Заполнение первичных документов по учету труда и его оплаты. Решение ситуационных задач». </w:t>
            </w:r>
          </w:p>
        </w:tc>
      </w:tr>
      <w:tr>
        <w:tc>
          <w:tcPr>
            <w:tcW w:type="dxa" w:w="2154"/>
            <w:gridSpan w:val="1"/>
            <w:vMerge w:val="continue"/>
          </w:tcPr>
          <w:p/>
        </w:tc>
        <w:tc>
          <w:tcPr>
            <w:tcW w:type="dxa" w:w="7480"/>
          </w:tcPr>
          <w:p w14:paraId="AA010000">
            <w:pPr>
              <w:ind/>
              <w:jc w:val="both"/>
              <w:rPr>
                <w:rFonts w:ascii="Times New Roman" w:hAnsi="Times New Roman"/>
                <w:sz w:val="24"/>
              </w:rPr>
            </w:pPr>
            <w:r>
              <w:rPr>
                <w:rFonts w:ascii="Times New Roman" w:hAnsi="Times New Roman"/>
                <w:sz w:val="24"/>
              </w:rPr>
              <w:t>2. «Расчет заработной платы сотрудникам организации (повременная форма оплаты труда).</w:t>
            </w:r>
            <w:r>
              <w:rPr>
                <w:rFonts w:ascii="Times New Roman" w:hAnsi="Times New Roman"/>
                <w:sz w:val="24"/>
              </w:rPr>
              <w:t xml:space="preserve"> Решение ситуационных задач».</w:t>
            </w:r>
          </w:p>
        </w:tc>
      </w:tr>
      <w:tr>
        <w:tc>
          <w:tcPr>
            <w:tcW w:type="dxa" w:w="2154"/>
            <w:gridSpan w:val="1"/>
            <w:vMerge w:val="continue"/>
          </w:tcPr>
          <w:p/>
        </w:tc>
        <w:tc>
          <w:tcPr>
            <w:tcW w:type="dxa" w:w="7480"/>
          </w:tcPr>
          <w:p w14:paraId="AB010000">
            <w:pPr>
              <w:ind/>
              <w:jc w:val="both"/>
              <w:rPr>
                <w:rFonts w:ascii="Times New Roman" w:hAnsi="Times New Roman"/>
                <w:sz w:val="24"/>
              </w:rPr>
            </w:pPr>
            <w:r>
              <w:rPr>
                <w:rFonts w:ascii="Times New Roman" w:hAnsi="Times New Roman"/>
                <w:sz w:val="24"/>
              </w:rPr>
              <w:t xml:space="preserve">3. «Расчет заработной платы сотрудникам организации (сдельная форма оплаты труда). </w:t>
            </w:r>
            <w:r>
              <w:rPr>
                <w:rFonts w:ascii="Times New Roman" w:hAnsi="Times New Roman"/>
                <w:sz w:val="24"/>
              </w:rPr>
              <w:t>Решение ситуационных задач».</w:t>
            </w:r>
          </w:p>
        </w:tc>
      </w:tr>
      <w:tr>
        <w:tc>
          <w:tcPr>
            <w:tcW w:type="dxa" w:w="2154"/>
            <w:gridSpan w:val="1"/>
            <w:vMerge w:val="continue"/>
          </w:tcPr>
          <w:p/>
        </w:tc>
        <w:tc>
          <w:tcPr>
            <w:tcW w:type="dxa" w:w="7480"/>
          </w:tcPr>
          <w:p w14:paraId="AC010000">
            <w:pPr>
              <w:ind/>
              <w:jc w:val="both"/>
              <w:rPr>
                <w:rFonts w:ascii="Times New Roman" w:hAnsi="Times New Roman"/>
                <w:sz w:val="24"/>
              </w:rPr>
            </w:pPr>
            <w:r>
              <w:rPr>
                <w:rFonts w:ascii="Times New Roman" w:hAnsi="Times New Roman"/>
                <w:sz w:val="24"/>
              </w:rPr>
              <w:t>4. Решение кейса «</w:t>
            </w:r>
            <w:r>
              <w:rPr>
                <w:rFonts w:ascii="Times New Roman" w:hAnsi="Times New Roman"/>
                <w:sz w:val="24"/>
              </w:rPr>
              <w:t>Расчет оплаты труда в выходные и праздничные дня, в ночное время, в сверхурочные часы. Расчет премий, доплат и надбавок».</w:t>
            </w:r>
          </w:p>
        </w:tc>
      </w:tr>
      <w:tr>
        <w:tc>
          <w:tcPr>
            <w:tcW w:type="dxa" w:w="2154"/>
            <w:gridSpan w:val="1"/>
            <w:vMerge w:val="continue"/>
          </w:tcPr>
          <w:p/>
        </w:tc>
        <w:tc>
          <w:tcPr>
            <w:tcW w:type="dxa" w:w="7480"/>
          </w:tcPr>
          <w:p w14:paraId="AD010000">
            <w:pPr>
              <w:ind/>
              <w:jc w:val="both"/>
              <w:rPr>
                <w:rFonts w:ascii="Times New Roman" w:hAnsi="Times New Roman"/>
                <w:sz w:val="24"/>
              </w:rPr>
            </w:pPr>
            <w:r>
              <w:rPr>
                <w:rFonts w:ascii="Times New Roman" w:hAnsi="Times New Roman"/>
                <w:sz w:val="24"/>
              </w:rPr>
              <w:t>5. Решение кейса «Порядок начисления пособий по временной нетрудоспособности».</w:t>
            </w:r>
          </w:p>
        </w:tc>
      </w:tr>
      <w:tr>
        <w:tc>
          <w:tcPr>
            <w:tcW w:type="dxa" w:w="2154"/>
            <w:gridSpan w:val="1"/>
            <w:vMerge w:val="continue"/>
          </w:tcPr>
          <w:p/>
        </w:tc>
        <w:tc>
          <w:tcPr>
            <w:tcW w:type="dxa" w:w="7480"/>
          </w:tcPr>
          <w:p w14:paraId="AE010000">
            <w:pPr>
              <w:ind/>
              <w:jc w:val="both"/>
              <w:rPr>
                <w:rFonts w:ascii="Times New Roman" w:hAnsi="Times New Roman"/>
                <w:sz w:val="24"/>
              </w:rPr>
            </w:pPr>
            <w:r>
              <w:rPr>
                <w:rFonts w:ascii="Times New Roman" w:hAnsi="Times New Roman"/>
                <w:sz w:val="24"/>
              </w:rPr>
              <w:t>6. «Заполнение бухгалтерских регистров по расчету заработной платы</w:t>
            </w:r>
            <w:r>
              <w:rPr>
                <w:rFonts w:ascii="Times New Roman" w:hAnsi="Times New Roman"/>
                <w:sz w:val="24"/>
              </w:rPr>
              <w:t>. Решение ситуационных задач».</w:t>
            </w:r>
          </w:p>
        </w:tc>
      </w:tr>
      <w:tr>
        <w:tc>
          <w:tcPr>
            <w:tcW w:type="dxa" w:w="2154"/>
            <w:gridSpan w:val="1"/>
            <w:vMerge w:val="continue"/>
          </w:tcPr>
          <w:p/>
        </w:tc>
        <w:tc>
          <w:tcPr>
            <w:tcW w:type="dxa" w:w="7480"/>
          </w:tcPr>
          <w:p w14:paraId="AF010000">
            <w:pPr>
              <w:ind/>
              <w:jc w:val="both"/>
              <w:rPr>
                <w:rFonts w:ascii="Times New Roman" w:hAnsi="Times New Roman"/>
                <w:sz w:val="24"/>
              </w:rPr>
            </w:pPr>
            <w:r>
              <w:rPr>
                <w:rFonts w:ascii="Times New Roman" w:hAnsi="Times New Roman"/>
                <w:sz w:val="24"/>
              </w:rPr>
              <w:t>7. Решение кейса по теме «Порядок начисления оплаты труда и выплаты заработной платы работникам различных категорий с заполнением первичной документации».</w:t>
            </w:r>
          </w:p>
        </w:tc>
      </w:tr>
      <w:tr>
        <w:tc>
          <w:tcPr>
            <w:tcW w:type="dxa" w:w="2154"/>
            <w:vMerge w:val="restart"/>
          </w:tcPr>
          <w:p w14:paraId="B0010000">
            <w:pPr>
              <w:rPr>
                <w:rFonts w:ascii="Times New Roman" w:hAnsi="Times New Roman"/>
                <w:sz w:val="24"/>
              </w:rPr>
            </w:pPr>
            <w:r>
              <w:rPr>
                <w:rFonts w:ascii="Times New Roman" w:hAnsi="Times New Roman"/>
                <w:b w:val="1"/>
                <w:sz w:val="24"/>
              </w:rPr>
              <w:fldChar w:fldCharType="begin"/>
            </w:r>
            <w:r>
              <w:rPr>
                <w:rFonts w:ascii="Times New Roman" w:hAnsi="Times New Roman"/>
                <w:b w:val="1"/>
                <w:sz w:val="24"/>
              </w:rPr>
              <w:instrText>HYPERLINK "javascript:__doPostBack('ctl00$ctl00$ParentContent$ContentLeftPart$tvTema','sMDYzNmMxMjMtZjI1ZS00YmJkLWI1NzEtMzhlYTliZDA0MmFifOTo8fbo7+vo7eB8fM/w4Ory6Pfl8ero5SDu8e3u4vsg4fP14+Dr8uXw8eru4+4g8/fl8uAg6PHy7vft6Oru4iD07vDs6PDu4uDt6P8g4Ory6OLu4iDu8OPg7ejn4Pbo6A==//NTBhZWM3YmItOWY0Ny00ZmQ0LTgyN2QtZWI1NzhkYTI2NzgyfPLl7OB80uXs4CAyfNP35fIg8+Tl8Obg7ejpIOjnIOfg8ODh7vLt7ukg7+vg8vsg8ODh7vLt6Oru4iAu')"</w:instrText>
            </w:r>
            <w:r>
              <w:rPr>
                <w:rFonts w:ascii="Times New Roman" w:hAnsi="Times New Roman"/>
                <w:b w:val="1"/>
                <w:sz w:val="24"/>
              </w:rPr>
              <w:fldChar w:fldCharType="separate"/>
            </w:r>
            <w:r>
              <w:rPr>
                <w:rFonts w:ascii="Times New Roman" w:hAnsi="Times New Roman"/>
                <w:b w:val="1"/>
                <w:sz w:val="24"/>
              </w:rPr>
              <w:t xml:space="preserve">Тема </w:t>
            </w:r>
            <w:r>
              <w:rPr>
                <w:rFonts w:ascii="Times New Roman" w:hAnsi="Times New Roman"/>
                <w:b w:val="1"/>
                <w:sz w:val="24"/>
              </w:rPr>
              <w:t>1.</w:t>
            </w:r>
            <w:r>
              <w:rPr>
                <w:rFonts w:ascii="Times New Roman" w:hAnsi="Times New Roman"/>
                <w:b w:val="1"/>
                <w:sz w:val="24"/>
              </w:rPr>
              <w:t>11. Учет удержаний из заработной платы работников.</w:t>
            </w:r>
            <w:r>
              <w:rPr>
                <w:rFonts w:ascii="Times New Roman" w:hAnsi="Times New Roman"/>
                <w:b w:val="1"/>
                <w:sz w:val="24"/>
              </w:rPr>
              <w:fldChar w:fldCharType="end"/>
            </w:r>
          </w:p>
        </w:tc>
        <w:tc>
          <w:tcPr>
            <w:tcW w:type="dxa" w:w="7480"/>
          </w:tcPr>
          <w:p w14:paraId="B1010000">
            <w:pPr>
              <w:ind/>
              <w:jc w:val="both"/>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B2010000">
            <w:pPr>
              <w:ind/>
              <w:jc w:val="both"/>
              <w:rPr>
                <w:rFonts w:ascii="Times New Roman" w:hAnsi="Times New Roman"/>
                <w:sz w:val="24"/>
              </w:rPr>
            </w:pPr>
            <w:r>
              <w:rPr>
                <w:rFonts w:ascii="Times New Roman" w:hAnsi="Times New Roman"/>
                <w:sz w:val="24"/>
              </w:rPr>
              <w:t>Обязательные удержания из зарплаты, предусмотренные законодательством. Удержание налога на доходы с физических лиц. Объекты налогообложения, налоговые ставки, налоговые вычеты по налогу на доходы с физических лиц. Порядок удержания по исполнительным листам. Удержания по инициативе администрации. Синтетический и аналитический учет удержаний из заработной платы. Документальное оформление операций по учету. Порядок расчета зарплаты к выдаче.</w:t>
            </w:r>
          </w:p>
        </w:tc>
      </w:tr>
      <w:tr>
        <w:tc>
          <w:tcPr>
            <w:tcW w:type="dxa" w:w="2154"/>
            <w:gridSpan w:val="1"/>
            <w:vMerge w:val="continue"/>
          </w:tcPr>
          <w:p/>
        </w:tc>
        <w:tc>
          <w:tcPr>
            <w:tcW w:type="dxa" w:w="7480"/>
          </w:tcPr>
          <w:p w14:paraId="B3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B4010000">
            <w:pPr>
              <w:ind/>
              <w:jc w:val="both"/>
              <w:rPr>
                <w:rFonts w:ascii="Times New Roman" w:hAnsi="Times New Roman"/>
                <w:sz w:val="24"/>
              </w:rPr>
            </w:pPr>
            <w:r>
              <w:rPr>
                <w:rFonts w:ascii="Times New Roman" w:hAnsi="Times New Roman"/>
                <w:sz w:val="24"/>
              </w:rPr>
              <w:t>1. «Удержания НДФЛ из заработной платы и отражение в учете соответствующих операций. Решение ситуационных задач по учету стандартных налоговых вычетов».</w:t>
            </w:r>
          </w:p>
        </w:tc>
      </w:tr>
      <w:tr>
        <w:tc>
          <w:tcPr>
            <w:tcW w:type="dxa" w:w="2154"/>
            <w:gridSpan w:val="1"/>
            <w:vMerge w:val="continue"/>
          </w:tcPr>
          <w:p/>
        </w:tc>
        <w:tc>
          <w:tcPr>
            <w:tcW w:type="dxa" w:w="7480"/>
          </w:tcPr>
          <w:p w14:paraId="B5010000">
            <w:pPr>
              <w:ind/>
              <w:jc w:val="both"/>
              <w:rPr>
                <w:rFonts w:ascii="Times New Roman" w:hAnsi="Times New Roman"/>
                <w:sz w:val="24"/>
              </w:rPr>
            </w:pPr>
            <w:r>
              <w:rPr>
                <w:rFonts w:ascii="Times New Roman" w:hAnsi="Times New Roman"/>
                <w:sz w:val="24"/>
              </w:rPr>
              <w:t>2. «Порядок учета удержаний из заработной платы по инициативе работника и работодателя</w:t>
            </w:r>
            <w:r>
              <w:rPr>
                <w:rFonts w:ascii="Times New Roman" w:hAnsi="Times New Roman"/>
                <w:sz w:val="24"/>
              </w:rPr>
              <w:t>. Решение ситуационных задач».</w:t>
            </w:r>
          </w:p>
        </w:tc>
      </w:tr>
      <w:tr>
        <w:tc>
          <w:tcPr>
            <w:tcW w:type="dxa" w:w="2154"/>
            <w:vMerge w:val="restart"/>
          </w:tcPr>
          <w:p w14:paraId="B6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MDYzNmMxMjMtZjI1ZS00YmJkLWI1NzEtMzhlYTliZDA0MmFifOTo8fbo7+vo7eB8fM/w4Ory6Pfl8ero5SDu8e3u4vsg4fP14+Dr8uXw8eru4+4g8/fl8uAg6PHy7vft6Oru4iD07vDs6PDu4uDt6P8g4Ory6OLu4iDu8OPg7ejn4Pbo6A==//NDYyYTY4MDEtMWQ1MC00Mzg2LTk2MjgtM2UwOGEyMWUxMTg4fPLl7OB80uXs4CAzfNP35fIg8ODx9+Xy7uIg7+4g8e726ODr/O3u7PMg8fLw4PXu4uDt6P4g6CDu4eXx7+X35e3o/g==')"</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12. Учет расчетов по социальному страхованию и обеспечению</w:t>
            </w:r>
            <w:r>
              <w:rPr>
                <w:rFonts w:ascii="Times New Roman" w:hAnsi="Times New Roman"/>
                <w:b w:val="1"/>
                <w:sz w:val="24"/>
                <w:highlight w:val="white"/>
              </w:rPr>
              <w:fldChar w:fldCharType="end"/>
            </w:r>
          </w:p>
        </w:tc>
        <w:tc>
          <w:tcPr>
            <w:tcW w:type="dxa" w:w="7480"/>
          </w:tcPr>
          <w:p w14:paraId="B7010000">
            <w:pPr>
              <w:ind/>
              <w:jc w:val="both"/>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B8010000">
            <w:pPr>
              <w:ind/>
              <w:jc w:val="both"/>
              <w:rPr>
                <w:rFonts w:ascii="Times New Roman" w:hAnsi="Times New Roman"/>
                <w:sz w:val="24"/>
              </w:rPr>
            </w:pPr>
            <w:r>
              <w:rPr>
                <w:rFonts w:ascii="Times New Roman" w:hAnsi="Times New Roman"/>
                <w:sz w:val="24"/>
              </w:rPr>
              <w:t xml:space="preserve">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 212-ФЗ от 24.06.2009г. </w:t>
            </w:r>
          </w:p>
          <w:p w14:paraId="B9010000">
            <w:pPr>
              <w:ind/>
              <w:jc w:val="both"/>
              <w:rPr>
                <w:rFonts w:ascii="Times New Roman" w:hAnsi="Times New Roman"/>
                <w:sz w:val="24"/>
              </w:rPr>
            </w:pPr>
            <w:r>
              <w:rPr>
                <w:rFonts w:ascii="Times New Roman" w:hAnsi="Times New Roman"/>
                <w:sz w:val="24"/>
              </w:rPr>
              <w:t>Виды платежей в фонды социального страхования и обеспечения. Объекты обложения, ставки, плательщики, сроки уплаты.</w:t>
            </w:r>
          </w:p>
          <w:p w14:paraId="BA010000">
            <w:pPr>
              <w:ind/>
              <w:jc w:val="both"/>
              <w:rPr>
                <w:rFonts w:ascii="Times New Roman" w:hAnsi="Times New Roman"/>
                <w:sz w:val="24"/>
              </w:rPr>
            </w:pPr>
            <w:r>
              <w:rPr>
                <w:rFonts w:ascii="Times New Roman" w:hAnsi="Times New Roman"/>
                <w:sz w:val="24"/>
              </w:rPr>
              <w:t xml:space="preserve"> Синтетический и аналитический учет расчетов по социальному страхованию и обеспечению. Документальное оформление операций по учету. Отчетность по расчетам с органами социального страхования и обеспечения..</w:t>
            </w:r>
          </w:p>
        </w:tc>
      </w:tr>
      <w:tr>
        <w:tc>
          <w:tcPr>
            <w:tcW w:type="dxa" w:w="2154"/>
            <w:gridSpan w:val="1"/>
            <w:vMerge w:val="continue"/>
          </w:tcPr>
          <w:p/>
        </w:tc>
        <w:tc>
          <w:tcPr>
            <w:tcW w:type="dxa" w:w="7480"/>
          </w:tcPr>
          <w:p w14:paraId="BB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BC010000">
            <w:pPr>
              <w:ind/>
              <w:jc w:val="both"/>
              <w:rPr>
                <w:rFonts w:ascii="Times New Roman" w:hAnsi="Times New Roman"/>
                <w:sz w:val="24"/>
              </w:rPr>
            </w:pPr>
            <w:r>
              <w:rPr>
                <w:rFonts w:ascii="Times New Roman" w:hAnsi="Times New Roman"/>
                <w:sz w:val="24"/>
              </w:rPr>
              <w:t xml:space="preserve">1. Решение кейса «Порядок начисление отпускных в организации». </w:t>
            </w:r>
          </w:p>
        </w:tc>
      </w:tr>
      <w:tr>
        <w:tc>
          <w:tcPr>
            <w:tcW w:type="dxa" w:w="2154"/>
            <w:gridSpan w:val="1"/>
            <w:vMerge w:val="continue"/>
          </w:tcPr>
          <w:p/>
        </w:tc>
        <w:tc>
          <w:tcPr>
            <w:tcW w:type="dxa" w:w="7480"/>
          </w:tcPr>
          <w:p w14:paraId="BD010000">
            <w:pPr>
              <w:ind/>
              <w:jc w:val="both"/>
              <w:rPr>
                <w:rFonts w:ascii="Times New Roman" w:hAnsi="Times New Roman"/>
                <w:sz w:val="24"/>
              </w:rPr>
            </w:pPr>
            <w:r>
              <w:rPr>
                <w:rFonts w:ascii="Times New Roman" w:hAnsi="Times New Roman"/>
                <w:sz w:val="24"/>
              </w:rPr>
              <w:t>2. Решение кейса «</w:t>
            </w:r>
            <w:r>
              <w:rPr>
                <w:rFonts w:ascii="Times New Roman" w:hAnsi="Times New Roman"/>
                <w:sz w:val="24"/>
              </w:rPr>
              <w:t>Формирование резерва отпусков».</w:t>
            </w:r>
          </w:p>
        </w:tc>
      </w:tr>
      <w:tr>
        <w:tc>
          <w:tcPr>
            <w:tcW w:type="dxa" w:w="2154"/>
            <w:vMerge w:val="restart"/>
          </w:tcPr>
          <w:p w14:paraId="BE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Zjg0MmY1NGMtNmZjZi00NzU0LTlkNTEtYzg4YmM1NjE5YWMwfOTo8fbo7+vo7eB8fM/w4Ory6Pfl8ero5SDu8e3u4vsg4fP14+Dr8uXw8eru4+4g8/fl8uAg4Ory6OLu4iDu8OPg7ejn4Pbo6A==//Zjg5ZmQ0MzUtZjIyNi00Y2Y1LTllY2ItMTcxMWMxYjZhYmFifPLl7OB80uXs4CAxMXzT9+XyIPTo7eDt8e7i+/Ug8OXn8+v88uDy7uIg6CDo8e/u6/zn7uLg7ej/IO/w6OH76+gu')"</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13. Учет финансовых результатов и использования прибыли.</w:t>
            </w:r>
            <w:r>
              <w:rPr>
                <w:rFonts w:ascii="Times New Roman" w:hAnsi="Times New Roman"/>
                <w:b w:val="1"/>
                <w:sz w:val="24"/>
                <w:highlight w:val="white"/>
              </w:rPr>
              <w:fldChar w:fldCharType="end"/>
            </w:r>
          </w:p>
        </w:tc>
        <w:tc>
          <w:tcPr>
            <w:tcW w:type="dxa" w:w="7480"/>
          </w:tcPr>
          <w:p w14:paraId="BF010000">
            <w:pPr>
              <w:ind/>
              <w:jc w:val="both"/>
              <w:rPr>
                <w:rFonts w:ascii="Times New Roman" w:hAnsi="Times New Roman"/>
                <w:sz w:val="24"/>
              </w:rPr>
            </w:pPr>
            <w:r>
              <w:rPr>
                <w:rFonts w:ascii="Times New Roman" w:hAnsi="Times New Roman"/>
                <w:sz w:val="24"/>
              </w:rPr>
              <w:t>Понятие финансовых результатов. Структурами порядок формирования финансовых результатов. Учет финансовых результатов от обычных видов деятельности. Особенности учета финансовых результатов в бухгалтерском и налоговом учете. Журнал-ордер № 15, его заполнение.</w:t>
            </w:r>
          </w:p>
          <w:p w14:paraId="C0010000">
            <w:pPr>
              <w:ind/>
              <w:jc w:val="both"/>
              <w:rPr>
                <w:rFonts w:ascii="Times New Roman" w:hAnsi="Times New Roman"/>
                <w:sz w:val="24"/>
              </w:rPr>
            </w:pPr>
            <w:r>
              <w:rPr>
                <w:rFonts w:ascii="Times New Roman" w:hAnsi="Times New Roman"/>
                <w:sz w:val="24"/>
              </w:rPr>
              <w:t xml:space="preserve">Понятие доходов и расходов от обычной и прочей деятельности, их синтетический и аналитический учет. Порядок списания доходов и расходов на финансовый результат деятельности организации. </w:t>
            </w:r>
          </w:p>
          <w:p w14:paraId="C1010000">
            <w:pPr>
              <w:ind/>
              <w:jc w:val="both"/>
              <w:rPr>
                <w:rFonts w:ascii="Times New Roman" w:hAnsi="Times New Roman"/>
                <w:sz w:val="24"/>
              </w:rPr>
            </w:pPr>
            <w:r>
              <w:rPr>
                <w:rFonts w:ascii="Times New Roman" w:hAnsi="Times New Roman"/>
                <w:sz w:val="24"/>
              </w:rPr>
              <w:t xml:space="preserve">Понятие нераспределенной прибыли. Порядок списания нераспределенной прибыли (непокрытого убытка). Синтетический и </w:t>
            </w:r>
            <w:r>
              <w:rPr>
                <w:rFonts w:ascii="Times New Roman" w:hAnsi="Times New Roman"/>
                <w:sz w:val="24"/>
              </w:rPr>
              <w:t>аналитический учет нераспределенной прибыли (непокрытого убытка); Порядок распределения (использования) прибыли.</w:t>
            </w:r>
          </w:p>
        </w:tc>
      </w:tr>
      <w:tr>
        <w:tc>
          <w:tcPr>
            <w:tcW w:type="dxa" w:w="2154"/>
            <w:gridSpan w:val="1"/>
            <w:vMerge w:val="continue"/>
          </w:tcPr>
          <w:p/>
        </w:tc>
        <w:tc>
          <w:tcPr>
            <w:tcW w:type="dxa" w:w="7480"/>
          </w:tcPr>
          <w:p w14:paraId="C2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C3010000">
            <w:pPr>
              <w:ind/>
              <w:jc w:val="both"/>
              <w:rPr>
                <w:rFonts w:ascii="Times New Roman" w:hAnsi="Times New Roman"/>
                <w:sz w:val="24"/>
              </w:rPr>
            </w:pPr>
            <w:r>
              <w:rPr>
                <w:rFonts w:ascii="Times New Roman" w:hAnsi="Times New Roman"/>
                <w:sz w:val="24"/>
              </w:rPr>
              <w:t xml:space="preserve">1. «Учет доходов и расходов по основным видам деятельности. </w:t>
            </w:r>
            <w:r>
              <w:rPr>
                <w:rFonts w:ascii="Times New Roman" w:hAnsi="Times New Roman"/>
                <w:sz w:val="24"/>
              </w:rPr>
              <w:t>Учет финансовых результатов по основным видам деятельности в организации</w:t>
            </w:r>
            <w:r>
              <w:rPr>
                <w:rFonts w:ascii="Times New Roman" w:hAnsi="Times New Roman"/>
                <w:sz w:val="24"/>
              </w:rPr>
              <w:t>. Решение ситуационных задач».</w:t>
            </w:r>
          </w:p>
        </w:tc>
      </w:tr>
      <w:tr>
        <w:tc>
          <w:tcPr>
            <w:tcW w:type="dxa" w:w="2154"/>
            <w:gridSpan w:val="1"/>
            <w:vMerge w:val="continue"/>
          </w:tcPr>
          <w:p/>
        </w:tc>
        <w:tc>
          <w:tcPr>
            <w:tcW w:type="dxa" w:w="7480"/>
          </w:tcPr>
          <w:p w14:paraId="C4010000">
            <w:pPr>
              <w:ind/>
              <w:jc w:val="both"/>
              <w:rPr>
                <w:rFonts w:ascii="Times New Roman" w:hAnsi="Times New Roman"/>
                <w:sz w:val="24"/>
              </w:rPr>
            </w:pPr>
            <w:r>
              <w:rPr>
                <w:rFonts w:ascii="Times New Roman" w:hAnsi="Times New Roman"/>
                <w:sz w:val="24"/>
              </w:rPr>
              <w:t>2. «Учет доходов и расходов по прочим видам деятельности. Формирование финансовых результатов по прочим видам деятельности в организации</w:t>
            </w:r>
            <w:r>
              <w:rPr>
                <w:rFonts w:ascii="Times New Roman" w:hAnsi="Times New Roman"/>
                <w:sz w:val="24"/>
              </w:rPr>
              <w:t>. Решение ситуационных задач».</w:t>
            </w:r>
          </w:p>
        </w:tc>
      </w:tr>
      <w:tr>
        <w:tc>
          <w:tcPr>
            <w:tcW w:type="dxa" w:w="2154"/>
            <w:gridSpan w:val="1"/>
            <w:vMerge w:val="continue"/>
          </w:tcPr>
          <w:p/>
        </w:tc>
        <w:tc>
          <w:tcPr>
            <w:tcW w:type="dxa" w:w="7480"/>
          </w:tcPr>
          <w:p w14:paraId="C5010000">
            <w:pPr>
              <w:ind/>
              <w:jc w:val="both"/>
              <w:rPr>
                <w:rFonts w:ascii="Times New Roman" w:hAnsi="Times New Roman"/>
                <w:sz w:val="24"/>
              </w:rPr>
            </w:pPr>
            <w:r>
              <w:rPr>
                <w:rFonts w:ascii="Times New Roman" w:hAnsi="Times New Roman"/>
                <w:sz w:val="24"/>
              </w:rPr>
              <w:t>3. «Отражение на счетах бухгалтерского учета финансовых результатов. Решение ситуационных задач».</w:t>
            </w:r>
          </w:p>
        </w:tc>
      </w:tr>
      <w:tr>
        <w:tc>
          <w:tcPr>
            <w:tcW w:type="dxa" w:w="2154"/>
            <w:gridSpan w:val="1"/>
            <w:vMerge w:val="continue"/>
          </w:tcPr>
          <w:p/>
        </w:tc>
        <w:tc>
          <w:tcPr>
            <w:tcW w:type="dxa" w:w="7480"/>
          </w:tcPr>
          <w:p w14:paraId="C6010000">
            <w:pPr>
              <w:ind/>
              <w:jc w:val="both"/>
              <w:rPr>
                <w:rFonts w:ascii="Times New Roman" w:hAnsi="Times New Roman"/>
                <w:sz w:val="24"/>
              </w:rPr>
            </w:pPr>
            <w:r>
              <w:rPr>
                <w:rFonts w:ascii="Times New Roman" w:hAnsi="Times New Roman"/>
                <w:sz w:val="24"/>
              </w:rPr>
              <w:t>4. Решение кейса по теме «Нормативное регулирование учета налога на прибыль в организации. Сравнительный анализ нормативной - правовой базы по налогу на прибыль по бухгалтерскому и налоговому учету»</w:t>
            </w:r>
          </w:p>
        </w:tc>
      </w:tr>
      <w:tr>
        <w:tc>
          <w:tcPr>
            <w:tcW w:type="dxa" w:w="2154"/>
            <w:gridSpan w:val="1"/>
            <w:vMerge w:val="continue"/>
          </w:tcPr>
          <w:p/>
        </w:tc>
        <w:tc>
          <w:tcPr>
            <w:tcW w:type="dxa" w:w="7480"/>
          </w:tcPr>
          <w:p w14:paraId="C7010000">
            <w:pPr>
              <w:ind/>
              <w:jc w:val="both"/>
              <w:rPr>
                <w:rFonts w:ascii="Times New Roman" w:hAnsi="Times New Roman"/>
                <w:sz w:val="24"/>
              </w:rPr>
            </w:pPr>
            <w:r>
              <w:rPr>
                <w:rFonts w:ascii="Times New Roman" w:hAnsi="Times New Roman"/>
                <w:sz w:val="24"/>
              </w:rPr>
              <w:t>5. «Порядок начисления текущего налога на прибыль</w:t>
            </w:r>
            <w:r>
              <w:rPr>
                <w:rFonts w:ascii="Times New Roman" w:hAnsi="Times New Roman"/>
                <w:sz w:val="24"/>
              </w:rPr>
              <w:t xml:space="preserve">. Решение ситуационных задач». </w:t>
            </w:r>
          </w:p>
        </w:tc>
      </w:tr>
      <w:tr>
        <w:tc>
          <w:tcPr>
            <w:tcW w:type="dxa" w:w="2154"/>
            <w:gridSpan w:val="1"/>
            <w:vMerge w:val="continue"/>
          </w:tcPr>
          <w:p/>
        </w:tc>
        <w:tc>
          <w:tcPr>
            <w:tcW w:type="dxa" w:w="7480"/>
          </w:tcPr>
          <w:p w14:paraId="C8010000">
            <w:pPr>
              <w:ind/>
              <w:jc w:val="both"/>
              <w:rPr>
                <w:rFonts w:ascii="Times New Roman" w:hAnsi="Times New Roman"/>
                <w:sz w:val="24"/>
              </w:rPr>
            </w:pPr>
            <w:r>
              <w:rPr>
                <w:rFonts w:ascii="Times New Roman" w:hAnsi="Times New Roman"/>
                <w:sz w:val="24"/>
              </w:rPr>
              <w:t>6. «Отражение в учете использования нераспределенной прибыли</w:t>
            </w:r>
            <w:r>
              <w:rPr>
                <w:rFonts w:ascii="Times New Roman" w:hAnsi="Times New Roman"/>
                <w:sz w:val="24"/>
              </w:rPr>
              <w:t>. Решение ситуационных задач».</w:t>
            </w:r>
          </w:p>
        </w:tc>
      </w:tr>
      <w:tr>
        <w:tc>
          <w:tcPr>
            <w:tcW w:type="dxa" w:w="2154"/>
            <w:gridSpan w:val="1"/>
            <w:vMerge w:val="continue"/>
          </w:tcPr>
          <w:p/>
        </w:tc>
        <w:tc>
          <w:tcPr>
            <w:tcW w:type="dxa" w:w="7480"/>
          </w:tcPr>
          <w:p w14:paraId="C9010000">
            <w:pPr>
              <w:ind/>
              <w:jc w:val="both"/>
              <w:rPr>
                <w:rFonts w:ascii="Times New Roman" w:hAnsi="Times New Roman"/>
                <w:b w:val="1"/>
                <w:sz w:val="24"/>
              </w:rPr>
            </w:pPr>
            <w:r>
              <w:rPr>
                <w:rFonts w:ascii="Times New Roman" w:hAnsi="Times New Roman"/>
                <w:sz w:val="24"/>
              </w:rPr>
              <w:t>7. «Отражение на счетах операций по реформации баланса</w:t>
            </w:r>
            <w:r>
              <w:rPr>
                <w:rFonts w:ascii="Times New Roman" w:hAnsi="Times New Roman"/>
                <w:sz w:val="24"/>
              </w:rPr>
              <w:t>. Решение ситуационных задач».</w:t>
            </w:r>
          </w:p>
        </w:tc>
      </w:tr>
      <w:tr>
        <w:tc>
          <w:tcPr>
            <w:tcW w:type="dxa" w:w="2154"/>
            <w:gridSpan w:val="1"/>
            <w:vMerge w:val="continue"/>
          </w:tcPr>
          <w:p/>
        </w:tc>
        <w:tc>
          <w:tcPr>
            <w:tcW w:type="dxa" w:w="7480"/>
          </w:tcPr>
          <w:p w14:paraId="CA010000">
            <w:pPr>
              <w:ind/>
              <w:jc w:val="both"/>
              <w:rPr>
                <w:rFonts w:ascii="Times New Roman" w:hAnsi="Times New Roman"/>
                <w:sz w:val="24"/>
              </w:rPr>
            </w:pPr>
            <w:r>
              <w:rPr>
                <w:rFonts w:ascii="Times New Roman" w:hAnsi="Times New Roman"/>
                <w:sz w:val="24"/>
              </w:rPr>
              <w:t>8. Решение кейса по теме: «Формирование и учет финансовых результатов в зависимости от вида осуществляемой деятельности».</w:t>
            </w:r>
          </w:p>
        </w:tc>
      </w:tr>
      <w:tr>
        <w:tc>
          <w:tcPr>
            <w:tcW w:type="dxa" w:w="2154"/>
            <w:vMerge w:val="restart"/>
          </w:tcPr>
          <w:p w14:paraId="CB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Zjg0MmY1NGMtNmZjZi00NzU0LTlkNTEtYzg4YmM1NjE5YWMwfOTo8fbo7+vo7eB8fM/w4Ory6Pfl8ero5SDu8e3u4vsg4fP14+Dr8uXw8eru4+4g8/fl8uAg4Ory6OLu4iDu8OPg7ejn4Pbo6A==//OTc3YjM3ZjUtYTcwMy00N2U0LTgxMzAtZGU0ZGJhNjhkNTJmfPLl7OB80uXs4CAxMnzT9+XyIPHu4fHy4uXt7e7j7iDq4O/o8uDr4A==')"</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14. Учет собственного капитала</w:t>
            </w:r>
            <w:r>
              <w:rPr>
                <w:rFonts w:ascii="Times New Roman" w:hAnsi="Times New Roman"/>
                <w:b w:val="1"/>
                <w:sz w:val="24"/>
                <w:highlight w:val="white"/>
              </w:rPr>
              <w:fldChar w:fldCharType="end"/>
            </w:r>
          </w:p>
        </w:tc>
        <w:tc>
          <w:tcPr>
            <w:tcW w:type="dxa" w:w="7480"/>
          </w:tcPr>
          <w:p w14:paraId="CC010000">
            <w:pPr>
              <w:ind/>
              <w:jc w:val="both"/>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CD010000">
            <w:pPr>
              <w:ind/>
              <w:jc w:val="both"/>
              <w:rPr>
                <w:rFonts w:ascii="Times New Roman" w:hAnsi="Times New Roman"/>
                <w:sz w:val="24"/>
              </w:rPr>
            </w:pPr>
            <w:r>
              <w:rPr>
                <w:rFonts w:ascii="Times New Roman" w:hAnsi="Times New Roman"/>
                <w:sz w:val="24"/>
              </w:rPr>
              <w:t>Понятие уставного капитала, его виды и назначение. Формирование и учет уставного капитала и его изменений. Учет расчетов с учредителями. Документальное оформление операций по учету. Журнал-ордер № 12, порядок его заполнения.</w:t>
            </w:r>
          </w:p>
          <w:p w14:paraId="CE010000">
            <w:pPr>
              <w:ind/>
              <w:jc w:val="both"/>
              <w:rPr>
                <w:rFonts w:ascii="Times New Roman" w:hAnsi="Times New Roman"/>
                <w:sz w:val="24"/>
              </w:rPr>
            </w:pPr>
            <w:r>
              <w:rPr>
                <w:rFonts w:ascii="Times New Roman" w:hAnsi="Times New Roman"/>
                <w:sz w:val="24"/>
              </w:rPr>
              <w:t>Образование, пополнение, учет и использование резервного, добавочного капитала. Учет целевого финансирования, источники его формирования. Учет нераспределенной прибыли. Учет резервов под снижение стоимости материальных ценностей, резервов под обесценение вложений в ценные бумаги. Необходимость создания резерва для покрытия предстоящих расходов и платежей и его учет. Документальное оформление операций по учету.</w:t>
            </w:r>
          </w:p>
        </w:tc>
      </w:tr>
      <w:tr>
        <w:tc>
          <w:tcPr>
            <w:tcW w:type="dxa" w:w="2154"/>
            <w:gridSpan w:val="1"/>
            <w:vMerge w:val="continue"/>
          </w:tcPr>
          <w:p/>
        </w:tc>
        <w:tc>
          <w:tcPr>
            <w:tcW w:type="dxa" w:w="7480"/>
          </w:tcPr>
          <w:p w14:paraId="CF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D0010000">
            <w:pPr>
              <w:ind/>
              <w:jc w:val="both"/>
              <w:rPr>
                <w:rFonts w:ascii="Times New Roman" w:hAnsi="Times New Roman"/>
                <w:sz w:val="24"/>
              </w:rPr>
            </w:pPr>
            <w:r>
              <w:rPr>
                <w:rFonts w:ascii="Times New Roman" w:hAnsi="Times New Roman"/>
                <w:sz w:val="24"/>
              </w:rPr>
              <w:t>1. «Учет хозяйственных операций по формированию и изменению уставного капитала</w:t>
            </w:r>
            <w:r>
              <w:rPr>
                <w:rFonts w:ascii="Times New Roman" w:hAnsi="Times New Roman"/>
                <w:sz w:val="24"/>
              </w:rPr>
              <w:t>. Решение ситуационных задач».</w:t>
            </w:r>
          </w:p>
        </w:tc>
      </w:tr>
      <w:tr>
        <w:tc>
          <w:tcPr>
            <w:tcW w:type="dxa" w:w="2154"/>
            <w:gridSpan w:val="1"/>
            <w:vMerge w:val="continue"/>
          </w:tcPr>
          <w:p/>
        </w:tc>
        <w:tc>
          <w:tcPr>
            <w:tcW w:type="dxa" w:w="7480"/>
          </w:tcPr>
          <w:p w14:paraId="D1010000">
            <w:pPr>
              <w:ind/>
              <w:jc w:val="both"/>
              <w:rPr>
                <w:rFonts w:ascii="Times New Roman" w:hAnsi="Times New Roman"/>
                <w:sz w:val="24"/>
              </w:rPr>
            </w:pPr>
            <w:r>
              <w:rPr>
                <w:rFonts w:ascii="Times New Roman" w:hAnsi="Times New Roman"/>
                <w:sz w:val="24"/>
              </w:rPr>
              <w:t>2. «Учет хозяйственных операций по формированию и изменению добавочного и резервного капитала</w:t>
            </w:r>
            <w:r>
              <w:rPr>
                <w:rFonts w:ascii="Times New Roman" w:hAnsi="Times New Roman"/>
                <w:sz w:val="24"/>
              </w:rPr>
              <w:t>. Решение ситуационных задач».</w:t>
            </w:r>
          </w:p>
        </w:tc>
      </w:tr>
      <w:tr>
        <w:tc>
          <w:tcPr>
            <w:tcW w:type="dxa" w:w="2154"/>
            <w:vMerge w:val="restart"/>
          </w:tcPr>
          <w:p w14:paraId="D2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MDYzNmMxMjMtZjI1ZS00YmJkLWI1NzEtMzhlYTliZDA0MmFifOTo8fbo7+vo7eB8fM/w4Ory6Pfl8ero5SDu8e3u4vsg4fP14+Dr8uXw8eru4+4g8/fl8uAg6PHy7vft6Oru4iD07vDs6PDu4uDt6P8g4Ory6OLu4iDu8OPg7ejn4Pbo6A==//NjEwN2Q2ZTgtY2I2Yy00YWU1LTkyNDYtMTQwMGNmYjY2ZGVkfPLl7OB80uXs4CA4fNP35fIg6uDv6PLg6+Ag6CDw5efl8OLu4iwg9uXr5eLu4+4g9Ojt4O3x6PDu4uDt6P8=')"</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15. Учет капитала и резервов, целевого финансирования</w:t>
            </w:r>
            <w:r>
              <w:rPr>
                <w:rFonts w:ascii="Times New Roman" w:hAnsi="Times New Roman"/>
                <w:b w:val="1"/>
                <w:sz w:val="24"/>
                <w:highlight w:val="white"/>
              </w:rPr>
              <w:fldChar w:fldCharType="end"/>
            </w:r>
          </w:p>
        </w:tc>
        <w:tc>
          <w:tcPr>
            <w:tcW w:type="dxa" w:w="7480"/>
          </w:tcPr>
          <w:p w14:paraId="D3010000">
            <w:pPr>
              <w:ind/>
              <w:jc w:val="both"/>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D4010000">
            <w:pPr>
              <w:ind/>
              <w:jc w:val="both"/>
              <w:rPr>
                <w:rFonts w:ascii="Times New Roman" w:hAnsi="Times New Roman"/>
                <w:sz w:val="24"/>
              </w:rPr>
            </w:pPr>
            <w:r>
              <w:rPr>
                <w:rFonts w:ascii="Times New Roman" w:hAnsi="Times New Roman"/>
                <w:sz w:val="24"/>
              </w:rPr>
              <w:t>Образование, пополнение, учет и использование резервного, добавочного капитала. Учет целевого финансирования, источники его формирования. Учет нераспределенной прибыли. Учет резервов под снижение стоимости материальных ценностей, резервов под обесценение вложений в ценные бумаги. Необходимость создания резерва для покрытия предстоящих расходов и платежей и его учет. Документальное оформление операций по учету.</w:t>
            </w:r>
          </w:p>
        </w:tc>
      </w:tr>
      <w:tr>
        <w:tc>
          <w:tcPr>
            <w:tcW w:type="dxa" w:w="2154"/>
            <w:gridSpan w:val="1"/>
            <w:vMerge w:val="continue"/>
          </w:tcPr>
          <w:p/>
        </w:tc>
        <w:tc>
          <w:tcPr>
            <w:tcW w:type="dxa" w:w="7480"/>
          </w:tcPr>
          <w:p w14:paraId="D5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D6010000">
            <w:pPr>
              <w:ind/>
              <w:jc w:val="both"/>
              <w:rPr>
                <w:rFonts w:ascii="Times New Roman" w:hAnsi="Times New Roman"/>
                <w:sz w:val="24"/>
              </w:rPr>
            </w:pPr>
            <w:r>
              <w:rPr>
                <w:rFonts w:ascii="Times New Roman" w:hAnsi="Times New Roman"/>
                <w:sz w:val="24"/>
              </w:rPr>
              <w:t>«Учет средств целевого финансирования.</w:t>
            </w:r>
            <w:r>
              <w:rPr>
                <w:rFonts w:ascii="Times New Roman" w:hAnsi="Times New Roman"/>
                <w:sz w:val="24"/>
              </w:rPr>
              <w:t xml:space="preserve"> Решение ситуационных задач». </w:t>
            </w:r>
          </w:p>
        </w:tc>
      </w:tr>
      <w:tr>
        <w:tc>
          <w:tcPr>
            <w:tcW w:type="dxa" w:w="2154"/>
            <w:gridSpan w:val="1"/>
            <w:vMerge w:val="continue"/>
          </w:tcPr>
          <w:p/>
        </w:tc>
        <w:tc>
          <w:tcPr>
            <w:tcW w:type="dxa" w:w="7480"/>
          </w:tcPr>
          <w:p w14:paraId="D7010000">
            <w:pPr>
              <w:ind/>
              <w:jc w:val="both"/>
              <w:rPr>
                <w:rFonts w:ascii="Times New Roman" w:hAnsi="Times New Roman"/>
                <w:sz w:val="24"/>
              </w:rPr>
            </w:pPr>
            <w:r>
              <w:rPr>
                <w:rFonts w:ascii="Times New Roman" w:hAnsi="Times New Roman"/>
                <w:sz w:val="24"/>
              </w:rPr>
              <w:t>Решение кейса по теме «Формирование и изменение собственного капитала организации»</w:t>
            </w:r>
          </w:p>
        </w:tc>
      </w:tr>
      <w:tr>
        <w:tc>
          <w:tcPr>
            <w:tcW w:type="dxa" w:w="2154"/>
            <w:vMerge w:val="restart"/>
          </w:tcPr>
          <w:p w14:paraId="D8010000">
            <w:pPr>
              <w:rPr>
                <w:rFonts w:ascii="Times New Roman" w:hAnsi="Times New Roman"/>
                <w:sz w:val="24"/>
              </w:rPr>
            </w:pPr>
            <w:r>
              <w:rPr>
                <w:rFonts w:ascii="Times New Roman" w:hAnsi="Times New Roman"/>
                <w:b w:val="1"/>
                <w:sz w:val="24"/>
              </w:rPr>
              <w:fldChar w:fldCharType="begin"/>
            </w:r>
            <w:r>
              <w:rPr>
                <w:rFonts w:ascii="Times New Roman" w:hAnsi="Times New Roman"/>
                <w:b w:val="1"/>
                <w:sz w:val="24"/>
              </w:rPr>
              <w:instrText>HYPERLINK "javascript:__doPostBack('ctl00$ctl00$ParentContent$ContentLeftPart$tvTema','sZjg0MmY1NGMtNmZjZi00NzU0LTlkNTEtYzg4YmM1NjE5YWMwfOTo8fbo7+vo7eB8fM/w4Ory6Pfl8ero5SDu8e3u4vsg4fP14+Dr8uXw8eru4+4g8/fl8uAg4Ory6OLu4iDu8OPg7ejn4Pbo6A==//ZWIyOTU4MGEtMDc5Ni00NDdhLTk0NDktYjg3OWUzZTk0MjUwfPLl7OB80uXs4CAxM3zT9+XyIOrw5eTo8u7iIOgg5+Dp7O7i')"</w:instrText>
            </w:r>
            <w:r>
              <w:rPr>
                <w:rFonts w:ascii="Times New Roman" w:hAnsi="Times New Roman"/>
                <w:b w:val="1"/>
                <w:sz w:val="24"/>
              </w:rPr>
              <w:fldChar w:fldCharType="separate"/>
            </w:r>
            <w:r>
              <w:rPr>
                <w:rFonts w:ascii="Times New Roman" w:hAnsi="Times New Roman"/>
                <w:b w:val="1"/>
                <w:sz w:val="24"/>
              </w:rPr>
              <w:t xml:space="preserve">Тема </w:t>
            </w:r>
            <w:r>
              <w:rPr>
                <w:rFonts w:ascii="Times New Roman" w:hAnsi="Times New Roman"/>
                <w:b w:val="1"/>
                <w:sz w:val="24"/>
              </w:rPr>
              <w:t>1.</w:t>
            </w:r>
            <w:r>
              <w:rPr>
                <w:rFonts w:ascii="Times New Roman" w:hAnsi="Times New Roman"/>
                <w:b w:val="1"/>
                <w:sz w:val="24"/>
              </w:rPr>
              <w:t>16. Учет кредитов и займов</w:t>
            </w:r>
            <w:r>
              <w:rPr>
                <w:rFonts w:ascii="Times New Roman" w:hAnsi="Times New Roman"/>
                <w:b w:val="1"/>
                <w:sz w:val="24"/>
              </w:rPr>
              <w:fldChar w:fldCharType="end"/>
            </w:r>
          </w:p>
        </w:tc>
        <w:tc>
          <w:tcPr>
            <w:tcW w:type="dxa" w:w="7480"/>
          </w:tcPr>
          <w:p w14:paraId="D9010000">
            <w:pPr>
              <w:ind/>
              <w:jc w:val="both"/>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DA010000">
            <w:pPr>
              <w:ind/>
              <w:jc w:val="both"/>
              <w:rPr>
                <w:rFonts w:ascii="Times New Roman" w:hAnsi="Times New Roman"/>
                <w:sz w:val="24"/>
              </w:rPr>
            </w:pPr>
            <w:r>
              <w:rPr>
                <w:rFonts w:ascii="Times New Roman" w:hAnsi="Times New Roman"/>
                <w:sz w:val="24"/>
              </w:rPr>
              <w:t>Значение кредитов банка и займов как источников финансирования производственно-хозяйственной деятельности организаций. Виды кредитов по целевому назначению и срокам предоставления. Учет кредитных операций. Виды займов. Учет заемных средств. Документальное оформление операций по учету. Журнал-ордер № 4, порядок его заполнения</w:t>
            </w:r>
          </w:p>
        </w:tc>
      </w:tr>
      <w:tr>
        <w:tc>
          <w:tcPr>
            <w:tcW w:type="dxa" w:w="2154"/>
            <w:gridSpan w:val="1"/>
            <w:vMerge w:val="continue"/>
          </w:tcPr>
          <w:p/>
        </w:tc>
        <w:tc>
          <w:tcPr>
            <w:tcW w:type="dxa" w:w="7480"/>
          </w:tcPr>
          <w:p w14:paraId="DB01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DC010000">
            <w:pPr>
              <w:ind/>
              <w:jc w:val="both"/>
              <w:rPr>
                <w:rFonts w:ascii="Times New Roman" w:hAnsi="Times New Roman"/>
                <w:sz w:val="24"/>
              </w:rPr>
            </w:pPr>
            <w:r>
              <w:rPr>
                <w:rFonts w:ascii="Times New Roman" w:hAnsi="Times New Roman"/>
                <w:sz w:val="24"/>
              </w:rPr>
              <w:t>1. Решение кейса по теме «Документальное оформление и отражение в учете операций по краткосрочным и долгосрочным кредитам и займам».</w:t>
            </w:r>
          </w:p>
        </w:tc>
      </w:tr>
      <w:tr>
        <w:tc>
          <w:tcPr>
            <w:tcW w:type="dxa" w:w="2154"/>
            <w:gridSpan w:val="1"/>
            <w:vMerge w:val="continue"/>
          </w:tcPr>
          <w:p/>
        </w:tc>
        <w:tc>
          <w:tcPr>
            <w:tcW w:type="dxa" w:w="7480"/>
          </w:tcPr>
          <w:p w14:paraId="DD010000">
            <w:pPr>
              <w:ind/>
              <w:jc w:val="both"/>
              <w:rPr>
                <w:rFonts w:ascii="Times New Roman" w:hAnsi="Times New Roman"/>
                <w:sz w:val="24"/>
              </w:rPr>
            </w:pPr>
            <w:r>
              <w:rPr>
                <w:rFonts w:ascii="Times New Roman" w:hAnsi="Times New Roman"/>
                <w:sz w:val="24"/>
              </w:rPr>
              <w:t>2. Решение ситуационных задач: «Отражение в учете затрат по обслуживанию кредитов и займов»</w:t>
            </w:r>
          </w:p>
        </w:tc>
      </w:tr>
      <w:tr>
        <w:tc>
          <w:tcPr>
            <w:tcW w:type="dxa" w:w="2154"/>
            <w:gridSpan w:val="1"/>
            <w:vMerge w:val="continue"/>
          </w:tcPr>
          <w:p/>
        </w:tc>
        <w:tc>
          <w:tcPr>
            <w:tcW w:type="dxa" w:w="7480"/>
          </w:tcPr>
          <w:p w14:paraId="DE010000">
            <w:pPr>
              <w:ind/>
              <w:jc w:val="both"/>
              <w:rPr>
                <w:rFonts w:ascii="Times New Roman" w:hAnsi="Times New Roman"/>
                <w:sz w:val="24"/>
              </w:rPr>
            </w:pPr>
            <w:r>
              <w:rPr>
                <w:rFonts w:ascii="Times New Roman" w:hAnsi="Times New Roman"/>
                <w:sz w:val="24"/>
              </w:rPr>
              <w:t>3. Решение кейса по теме «Порядок отражения учета кредитов и займов в организации»</w:t>
            </w:r>
          </w:p>
        </w:tc>
      </w:tr>
      <w:tr>
        <w:trPr>
          <w:trHeight w:hRule="atLeast" w:val="276"/>
        </w:trPr>
        <w:tc>
          <w:tcPr>
            <w:tcW w:type="dxa" w:w="9634"/>
            <w:gridSpan w:val="2"/>
            <w:vMerge w:val="restart"/>
          </w:tcPr>
          <w:p w14:paraId="DF010000">
            <w:pPr>
              <w:rPr>
                <w:rFonts w:ascii="Times New Roman" w:hAnsi="Times New Roman"/>
                <w:b w:val="1"/>
                <w:color w:val="000000"/>
              </w:rPr>
            </w:pPr>
            <w:r>
              <w:rPr>
                <w:rFonts w:ascii="Times New Roman" w:hAnsi="Times New Roman"/>
                <w:b w:val="1"/>
                <w:color w:val="000000"/>
              </w:rPr>
              <w:t xml:space="preserve">Раздел 2. </w:t>
            </w:r>
            <w:r>
              <w:rPr>
                <w:rFonts w:ascii="Times New Roman" w:hAnsi="Times New Roman"/>
                <w:b w:val="1"/>
                <w:color w:val="000000"/>
              </w:rPr>
              <w:t>Организация расчетов с бюджетами бюджетной системы Российской Федерации</w:t>
            </w:r>
            <w:r>
              <w:rPr>
                <w:rFonts w:ascii="Times New Roman" w:hAnsi="Times New Roman"/>
                <w:b w:val="1"/>
                <w:color w:val="000000"/>
              </w:rPr>
              <w:t xml:space="preserve"> (48 ч.)</w:t>
            </w:r>
          </w:p>
          <w:p w14:paraId="E0010000">
            <w:pPr>
              <w:tabs>
                <w:tab w:leader="none" w:pos="851" w:val="left"/>
                <w:tab w:leader="none" w:pos="1134" w:val="left"/>
              </w:tabs>
              <w:ind w:firstLine="142" w:left="0"/>
              <w:jc w:val="both"/>
              <w:rPr>
                <w:rFonts w:ascii="Times New Roman" w:hAnsi="Times New Roman"/>
                <w:b w:val="1"/>
                <w:sz w:val="24"/>
              </w:rPr>
            </w:pPr>
          </w:p>
        </w:tc>
      </w:tr>
      <w:tr>
        <w:trPr>
          <w:trHeight w:hRule="atLeast" w:val="276"/>
        </w:trPr>
        <w:tc>
          <w:tcPr>
            <w:tcW w:type="dxa" w:w="9634"/>
            <w:gridSpan w:val="2"/>
            <w:vMerge w:val="continue"/>
          </w:tcPr>
          <w:p/>
        </w:tc>
      </w:tr>
      <w:tr>
        <w:tc>
          <w:tcPr>
            <w:tcW w:type="dxa" w:w="9634"/>
            <w:gridSpan w:val="2"/>
          </w:tcPr>
          <w:p w14:paraId="E1010000">
            <w:pPr>
              <w:rPr>
                <w:rFonts w:ascii="Times New Roman" w:hAnsi="Times New Roman"/>
                <w:b w:val="1"/>
                <w:sz w:val="24"/>
              </w:rPr>
            </w:pPr>
            <w:r>
              <w:rPr>
                <w:rFonts w:ascii="Times New Roman" w:hAnsi="Times New Roman"/>
                <w:b w:val="1"/>
                <w:sz w:val="24"/>
                <w:highlight w:val="white"/>
              </w:rPr>
              <w:t>МДК.01.02 Организация расчетов с бюджетами бюджетной системы Российской Федерации</w:t>
            </w:r>
          </w:p>
        </w:tc>
      </w:tr>
      <w:tr>
        <w:tc>
          <w:tcPr>
            <w:tcW w:type="dxa" w:w="2154"/>
            <w:vMerge w:val="restart"/>
          </w:tcPr>
          <w:p w14:paraId="E2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NGI0OTQ4YjgtNTlhNC00NjkwLWExNWQtNGQ2YWQwYTk2MWNhfOTo8fbo7+vo7eB8fM7w4+Dt6Ofg9uj/IPDg8ffl8u7iIPEg4f7k5uXy4OzoIOH+5Obl8u3u6SDx6PHy5ez7INDu8fHo6fHq7ukg1OXk5fDg9ujo//YjZmY2M1YTItYTBlOS00MGFiLTkxZmEtNmI4ZTkwMTFkZGI3fPLl7OB80uXs4CAxLnwgw+7x8+Tg8PHy4uXt7fvpIOH+5Obl8iDq4Oog/eru7e7s6Pfl8erg/yDq4PLl4+7w6P8=')"</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2.</w:t>
            </w:r>
            <w:r>
              <w:rPr>
                <w:rFonts w:ascii="Times New Roman" w:hAnsi="Times New Roman"/>
                <w:b w:val="1"/>
                <w:sz w:val="24"/>
                <w:highlight w:val="white"/>
              </w:rPr>
              <w:t>1. Государственный бюджет как экономическая категория</w:t>
            </w:r>
            <w:r>
              <w:rPr>
                <w:rFonts w:ascii="Times New Roman" w:hAnsi="Times New Roman"/>
                <w:b w:val="1"/>
                <w:sz w:val="24"/>
                <w:highlight w:val="white"/>
              </w:rPr>
              <w:fldChar w:fldCharType="end"/>
            </w:r>
          </w:p>
        </w:tc>
        <w:tc>
          <w:tcPr>
            <w:tcW w:type="dxa" w:w="7480"/>
          </w:tcPr>
          <w:p w14:paraId="E3010000">
            <w:pPr>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E4010000">
            <w:pPr>
              <w:rPr>
                <w:rFonts w:ascii="Times New Roman" w:hAnsi="Times New Roman"/>
                <w:sz w:val="24"/>
              </w:rPr>
            </w:pPr>
            <w:r>
              <w:rPr>
                <w:rFonts w:ascii="Times New Roman" w:hAnsi="Times New Roman"/>
                <w:sz w:val="24"/>
              </w:rPr>
              <w:t>Понятие и сущность бюджета и бюджетной системы. Определять источники уплаты налогов, сборов, пошлин.</w:t>
            </w:r>
          </w:p>
          <w:p w14:paraId="E5010000">
            <w:pPr>
              <w:rPr>
                <w:rFonts w:ascii="Times New Roman" w:hAnsi="Times New Roman"/>
                <w:sz w:val="24"/>
              </w:rPr>
            </w:pPr>
            <w:r>
              <w:rPr>
                <w:rFonts w:ascii="Times New Roman" w:hAnsi="Times New Roman"/>
                <w:sz w:val="24"/>
              </w:rPr>
              <w:t>Принципы бюджетной системы РФ.</w:t>
            </w:r>
          </w:p>
          <w:p w14:paraId="E6010000">
            <w:pPr>
              <w:rPr>
                <w:rFonts w:ascii="Times New Roman" w:hAnsi="Times New Roman"/>
                <w:sz w:val="24"/>
              </w:rPr>
            </w:pPr>
            <w:r>
              <w:rPr>
                <w:rFonts w:ascii="Times New Roman" w:hAnsi="Times New Roman"/>
                <w:sz w:val="24"/>
              </w:rPr>
              <w:t>Бюджетная классификация РФ. Выделять элементы налогообложения.</w:t>
            </w:r>
          </w:p>
          <w:p w14:paraId="E7010000">
            <w:pPr>
              <w:rPr>
                <w:rFonts w:ascii="Times New Roman" w:hAnsi="Times New Roman"/>
                <w:sz w:val="24"/>
              </w:rPr>
            </w:pPr>
            <w:r>
              <w:rPr>
                <w:rFonts w:ascii="Times New Roman" w:hAnsi="Times New Roman"/>
                <w:sz w:val="24"/>
              </w:rPr>
              <w:t xml:space="preserve"> Функции бюджета РФ.</w:t>
            </w:r>
          </w:p>
        </w:tc>
      </w:tr>
      <w:tr>
        <w:tc>
          <w:tcPr>
            <w:tcW w:type="dxa" w:w="2154"/>
            <w:gridSpan w:val="1"/>
            <w:vMerge w:val="continue"/>
          </w:tcPr>
          <w:p/>
        </w:tc>
        <w:tc>
          <w:tcPr>
            <w:tcW w:type="dxa" w:w="7480"/>
          </w:tcPr>
          <w:p w14:paraId="E801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E9010000">
            <w:pPr>
              <w:rPr>
                <w:rFonts w:ascii="Times New Roman" w:hAnsi="Times New Roman"/>
                <w:sz w:val="24"/>
              </w:rPr>
            </w:pPr>
            <w:r>
              <w:rPr>
                <w:rFonts w:ascii="Times New Roman" w:hAnsi="Times New Roman"/>
                <w:sz w:val="24"/>
              </w:rPr>
              <w:t>1. Бюджетное устройство Российской Федерации</w:t>
            </w:r>
          </w:p>
        </w:tc>
      </w:tr>
      <w:tr>
        <w:tc>
          <w:tcPr>
            <w:tcW w:type="dxa" w:w="2154"/>
            <w:vMerge w:val="restart"/>
          </w:tcPr>
          <w:p w14:paraId="EA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NGI0OTQ4YjgtNTlhNC00NjkwLWExNWQtNGQ2YWQwYTk2MWNhfOTo8fbo7+vo7eB8fM7w4+Dt6Ofg9uj/IPDg8ffl8u7iIPEg4f7k5uXy4OzoIOH+5Obl8u3u6SDx6PHy5ez7INDu8fHo6fHq7ukg1OXk5fDg9ujo//OThkOTcyM2EtNWI1Yi00NDJjLTgwY2YtYmU2ZjFiYzY0YmM0fPLl7OB80uXs4CAyLnzB/uTm5fL7INDu8fHo6fHq7ukg1OXk5fDg9ujo')"</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2.</w:t>
            </w:r>
            <w:r>
              <w:rPr>
                <w:rFonts w:ascii="Times New Roman" w:hAnsi="Times New Roman"/>
                <w:b w:val="1"/>
                <w:sz w:val="24"/>
                <w:highlight w:val="white"/>
              </w:rPr>
              <w:t>2. Бюджеты Российской Федерации</w:t>
            </w:r>
            <w:r>
              <w:rPr>
                <w:rFonts w:ascii="Times New Roman" w:hAnsi="Times New Roman"/>
                <w:b w:val="1"/>
                <w:sz w:val="24"/>
                <w:highlight w:val="white"/>
              </w:rPr>
              <w:fldChar w:fldCharType="end"/>
            </w:r>
          </w:p>
        </w:tc>
        <w:tc>
          <w:tcPr>
            <w:tcW w:type="dxa" w:w="7480"/>
          </w:tcPr>
          <w:p w14:paraId="EB010000">
            <w:pPr>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EC010000">
            <w:pPr>
              <w:rPr>
                <w:rFonts w:ascii="Times New Roman" w:hAnsi="Times New Roman"/>
                <w:sz w:val="24"/>
              </w:rPr>
            </w:pPr>
            <w:r>
              <w:rPr>
                <w:rFonts w:ascii="Times New Roman" w:hAnsi="Times New Roman"/>
                <w:sz w:val="24"/>
              </w:rPr>
              <w:t>Консолидированный бюджет, понятие, структура  и значение для экономики страны. Систему налогов РФ.</w:t>
            </w:r>
          </w:p>
          <w:p w14:paraId="ED010000">
            <w:pPr>
              <w:rPr>
                <w:rFonts w:ascii="Times New Roman" w:hAnsi="Times New Roman"/>
                <w:sz w:val="24"/>
              </w:rPr>
            </w:pPr>
            <w:r>
              <w:rPr>
                <w:rFonts w:ascii="Times New Roman" w:hAnsi="Times New Roman"/>
                <w:sz w:val="24"/>
              </w:rPr>
              <w:t>Федеральный бюджет РФ, понятие и порядок формирования.</w:t>
            </w:r>
          </w:p>
          <w:p w14:paraId="EE010000">
            <w:pPr>
              <w:rPr>
                <w:rFonts w:ascii="Times New Roman" w:hAnsi="Times New Roman"/>
                <w:sz w:val="24"/>
              </w:rPr>
            </w:pPr>
            <w:r>
              <w:rPr>
                <w:rFonts w:ascii="Times New Roman" w:hAnsi="Times New Roman"/>
                <w:sz w:val="24"/>
              </w:rPr>
              <w:t>Бюджет субъекта РФ.</w:t>
            </w:r>
          </w:p>
          <w:p w14:paraId="EF010000">
            <w:pPr>
              <w:rPr>
                <w:rFonts w:ascii="Times New Roman" w:hAnsi="Times New Roman"/>
                <w:sz w:val="24"/>
              </w:rPr>
            </w:pPr>
            <w:r>
              <w:rPr>
                <w:rFonts w:ascii="Times New Roman" w:hAnsi="Times New Roman"/>
                <w:sz w:val="24"/>
              </w:rPr>
              <w:t>Местные бюджеты.</w:t>
            </w:r>
          </w:p>
        </w:tc>
      </w:tr>
      <w:tr>
        <w:tc>
          <w:tcPr>
            <w:tcW w:type="dxa" w:w="2154"/>
            <w:gridSpan w:val="1"/>
            <w:vMerge w:val="continue"/>
          </w:tcPr>
          <w:p/>
        </w:tc>
        <w:tc>
          <w:tcPr>
            <w:tcW w:type="dxa" w:w="7480"/>
          </w:tcPr>
          <w:p w14:paraId="F001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F1010000">
            <w:pPr>
              <w:rPr>
                <w:rFonts w:ascii="Times New Roman" w:hAnsi="Times New Roman"/>
                <w:sz w:val="24"/>
              </w:rPr>
            </w:pPr>
            <w:r>
              <w:rPr>
                <w:rFonts w:ascii="Times New Roman" w:hAnsi="Times New Roman"/>
                <w:sz w:val="24"/>
              </w:rPr>
              <w:t>1. Решение ситуационных задач по классификации бюджетов РФ. Определение видов и роли бюджетов РФ в развитии экономики страны.</w:t>
            </w:r>
          </w:p>
        </w:tc>
      </w:tr>
      <w:tr>
        <w:tc>
          <w:tcPr>
            <w:tcW w:type="dxa" w:w="2154"/>
            <w:vMerge w:val="restart"/>
          </w:tcPr>
          <w:p w14:paraId="F2010000">
            <w:pPr>
              <w:rPr>
                <w:rFonts w:ascii="Times New Roman" w:hAnsi="Times New Roman"/>
                <w:sz w:val="24"/>
              </w:rPr>
            </w:pPr>
            <w:r>
              <w:rPr>
                <w:rFonts w:ascii="Times New Roman" w:hAnsi="Times New Roman"/>
                <w:b w:val="1"/>
                <w:sz w:val="24"/>
              </w:rPr>
              <w:fldChar w:fldCharType="begin"/>
            </w:r>
            <w:r>
              <w:rPr>
                <w:rFonts w:ascii="Times New Roman" w:hAnsi="Times New Roman"/>
                <w:b w:val="1"/>
                <w:sz w:val="24"/>
              </w:rPr>
              <w:instrText>HYPERLINK "javascript:__doPostBack('ctl00$ctl00$ParentContent$ContentLeftPart$tvTema','sNGI0OTQ4YjgtNTlhNC00NjkwLWExNWQtNGQ2YWQwYTk2MWNhfOTo8fbo7+vo7eB8fM7w4+Dt6Ofg9uj/IPDg8ffl8u7iIPEg4f7k5uXy4OzoIOH+5Obl8u3u6SDx6PHy5ez7INDu8fHo6fHq7ukg1OXk5fDg9ujo//NTcyZGNhMGItYzBiMC00MjY0LTg5ZjgtY2M1ZjYwNTcyNzkxfPLl7OB80uXs4CAzLiB8zvHt7uL7IO3g6+7j7u7h6+7m5e3o/yDiINDU')"</w:instrText>
            </w:r>
            <w:r>
              <w:rPr>
                <w:rFonts w:ascii="Times New Roman" w:hAnsi="Times New Roman"/>
                <w:b w:val="1"/>
                <w:sz w:val="24"/>
              </w:rPr>
              <w:fldChar w:fldCharType="separate"/>
            </w:r>
            <w:r>
              <w:rPr>
                <w:rFonts w:ascii="Times New Roman" w:hAnsi="Times New Roman"/>
                <w:b w:val="1"/>
                <w:sz w:val="24"/>
              </w:rPr>
              <w:t xml:space="preserve">Тема </w:t>
            </w:r>
            <w:r>
              <w:rPr>
                <w:rFonts w:ascii="Times New Roman" w:hAnsi="Times New Roman"/>
                <w:b w:val="1"/>
                <w:sz w:val="24"/>
              </w:rPr>
              <w:t>2.</w:t>
            </w:r>
            <w:r>
              <w:rPr>
                <w:rFonts w:ascii="Times New Roman" w:hAnsi="Times New Roman"/>
                <w:b w:val="1"/>
                <w:sz w:val="24"/>
              </w:rPr>
              <w:t>3. Основы налогообложения в РФ</w:t>
            </w:r>
            <w:r>
              <w:rPr>
                <w:rFonts w:ascii="Times New Roman" w:hAnsi="Times New Roman"/>
                <w:b w:val="1"/>
                <w:sz w:val="24"/>
              </w:rPr>
              <w:fldChar w:fldCharType="end"/>
            </w:r>
          </w:p>
          <w:p w14:paraId="F3010000">
            <w:pPr>
              <w:rPr>
                <w:rFonts w:ascii="Times New Roman" w:hAnsi="Times New Roman"/>
                <w:sz w:val="24"/>
              </w:rPr>
            </w:pPr>
          </w:p>
        </w:tc>
        <w:tc>
          <w:tcPr>
            <w:tcW w:type="dxa" w:w="7480"/>
          </w:tcPr>
          <w:p w14:paraId="F4010000">
            <w:pPr>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F5010000">
            <w:pPr>
              <w:rPr>
                <w:rFonts w:ascii="Times New Roman" w:hAnsi="Times New Roman"/>
                <w:sz w:val="24"/>
              </w:rPr>
            </w:pPr>
            <w:r>
              <w:rPr>
                <w:rFonts w:ascii="Times New Roman" w:hAnsi="Times New Roman"/>
                <w:sz w:val="24"/>
              </w:rPr>
              <w:t>Виды и порядок налогообложения. Источники уплаты налогов, сборов, пошлин.</w:t>
            </w:r>
          </w:p>
          <w:p w14:paraId="F6010000">
            <w:pPr>
              <w:rPr>
                <w:rFonts w:ascii="Times New Roman" w:hAnsi="Times New Roman"/>
                <w:sz w:val="24"/>
              </w:rPr>
            </w:pPr>
            <w:r>
              <w:rPr>
                <w:rFonts w:ascii="Times New Roman" w:hAnsi="Times New Roman"/>
                <w:sz w:val="24"/>
              </w:rPr>
              <w:t xml:space="preserve">Система налогообложения в РФ. </w:t>
            </w:r>
          </w:p>
          <w:p w14:paraId="F7010000">
            <w:pPr>
              <w:rPr>
                <w:rFonts w:ascii="Times New Roman" w:hAnsi="Times New Roman"/>
                <w:sz w:val="24"/>
              </w:rPr>
            </w:pPr>
            <w:r>
              <w:rPr>
                <w:rFonts w:ascii="Times New Roman" w:hAnsi="Times New Roman"/>
                <w:sz w:val="24"/>
              </w:rPr>
              <w:t>Элементы налогообложения.</w:t>
            </w:r>
          </w:p>
        </w:tc>
      </w:tr>
      <w:tr>
        <w:tc>
          <w:tcPr>
            <w:tcW w:type="dxa" w:w="2154"/>
            <w:gridSpan w:val="1"/>
            <w:vMerge w:val="continue"/>
          </w:tcPr>
          <w:p/>
        </w:tc>
        <w:tc>
          <w:tcPr>
            <w:tcW w:type="dxa" w:w="7480"/>
          </w:tcPr>
          <w:p w14:paraId="F801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F9010000">
            <w:pPr>
              <w:rPr>
                <w:rFonts w:ascii="Times New Roman" w:hAnsi="Times New Roman"/>
                <w:sz w:val="24"/>
              </w:rPr>
            </w:pPr>
            <w:r>
              <w:rPr>
                <w:rFonts w:ascii="Times New Roman" w:hAnsi="Times New Roman"/>
                <w:sz w:val="24"/>
              </w:rPr>
              <w:t xml:space="preserve">1. Решение ситуационных задач по исчислению налога при применении упрощенной системы налогообложения, подлежащего уплате в бюджеты бюджетной системы РФ, формированию бухгалтерских проводок начисления и перечисления налога при применении упрощенной системы налогообложения в бюджеты </w:t>
            </w:r>
            <w:r>
              <w:rPr>
                <w:rFonts w:ascii="Times New Roman" w:hAnsi="Times New Roman"/>
                <w:sz w:val="24"/>
              </w:rPr>
              <w:t>бюджетной системы РФ, оформлению платежных поручений на перечисление налога при применении упрощенной системы налогообложения в бюджеты бюджетной системы.</w:t>
            </w:r>
          </w:p>
        </w:tc>
      </w:tr>
      <w:tr>
        <w:tc>
          <w:tcPr>
            <w:tcW w:type="dxa" w:w="2154"/>
            <w:vMerge w:val="restart"/>
          </w:tcPr>
          <w:p w14:paraId="FA01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NGI0OTQ4YjgtNTlhNC00NjkwLWExNWQtNGQ2YWQwYTk2MWNhfOTo8fbo7+vo7eB8fM7w4+Dt6Ofg9uj/IPDg8ffl8u7iIPEg4f7k5uXy4OzoIOH+5Obl8u3u6SDx6PHy5ez7INDu8fHo6fHq7ukg1OXk5fDg9ujo//ZTdlYjE1NTYtMDA4Mi00YzkzLWFiYTMtZTQ1YmRmMDlkMzkyfPLl7OB80uXs4CA0fMHz9ePg6/Ll8PHq6Okg8/fl8iDt4Ovu4+7iIOgg8eHu8O7i')"</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2.</w:t>
            </w:r>
            <w:r>
              <w:rPr>
                <w:rFonts w:ascii="Times New Roman" w:hAnsi="Times New Roman"/>
                <w:b w:val="1"/>
                <w:sz w:val="24"/>
                <w:highlight w:val="white"/>
              </w:rPr>
              <w:t>4. Бухгалтерский учет налогов и сборов</w:t>
            </w:r>
            <w:r>
              <w:rPr>
                <w:rFonts w:ascii="Times New Roman" w:hAnsi="Times New Roman"/>
                <w:b w:val="1"/>
                <w:sz w:val="24"/>
                <w:highlight w:val="white"/>
              </w:rPr>
              <w:fldChar w:fldCharType="end"/>
            </w:r>
          </w:p>
        </w:tc>
        <w:tc>
          <w:tcPr>
            <w:tcW w:type="dxa" w:w="7480"/>
          </w:tcPr>
          <w:p w14:paraId="FB010000">
            <w:pPr>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FC010000">
            <w:pPr>
              <w:rPr>
                <w:rFonts w:ascii="Times New Roman" w:hAnsi="Times New Roman"/>
                <w:sz w:val="24"/>
              </w:rPr>
            </w:pPr>
            <w:r>
              <w:rPr>
                <w:rFonts w:ascii="Times New Roman" w:hAnsi="Times New Roman"/>
                <w:sz w:val="24"/>
              </w:rPr>
              <w:t>Синтетический и аналитический учет по счету 68 «Расчеты по налогам и сборам». Оформление бухгалтерскими проводками  начисление и перечисление сумм налогов и сборов.</w:t>
            </w:r>
          </w:p>
          <w:p w14:paraId="FD010000">
            <w:pPr>
              <w:rPr>
                <w:rFonts w:ascii="Times New Roman" w:hAnsi="Times New Roman"/>
                <w:sz w:val="24"/>
              </w:rPr>
            </w:pPr>
            <w:r>
              <w:rPr>
                <w:rFonts w:ascii="Times New Roman" w:hAnsi="Times New Roman"/>
                <w:sz w:val="24"/>
              </w:rPr>
              <w:t>Порядок заполнения платежных поручений по перечислению налогов и сборов.</w:t>
            </w:r>
          </w:p>
          <w:p w14:paraId="FE010000">
            <w:pPr>
              <w:rPr>
                <w:rFonts w:ascii="Times New Roman" w:hAnsi="Times New Roman"/>
                <w:sz w:val="24"/>
              </w:rPr>
            </w:pPr>
            <w:r>
              <w:rPr>
                <w:rFonts w:ascii="Times New Roman" w:hAnsi="Times New Roman"/>
                <w:sz w:val="24"/>
              </w:rPr>
              <w:t>Порядок заполнения реквизитов  платежного поручения.</w:t>
            </w:r>
          </w:p>
          <w:p w14:paraId="FF010000">
            <w:pPr>
              <w:rPr>
                <w:rFonts w:ascii="Times New Roman" w:hAnsi="Times New Roman"/>
                <w:sz w:val="24"/>
              </w:rPr>
            </w:pPr>
            <w:r>
              <w:rPr>
                <w:rFonts w:ascii="Times New Roman" w:hAnsi="Times New Roman"/>
                <w:sz w:val="24"/>
              </w:rPr>
              <w:t>Порядок присвоения кодов бюджетной классификации для налога, штрафа и пени.</w:t>
            </w:r>
          </w:p>
        </w:tc>
      </w:tr>
      <w:tr>
        <w:tc>
          <w:tcPr>
            <w:tcW w:type="dxa" w:w="2154"/>
            <w:gridSpan w:val="1"/>
            <w:vMerge w:val="continue"/>
          </w:tcPr>
          <w:p/>
        </w:tc>
        <w:tc>
          <w:tcPr>
            <w:tcW w:type="dxa" w:w="7480"/>
          </w:tcPr>
          <w:p w14:paraId="0002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01020000">
            <w:pPr>
              <w:rPr>
                <w:rFonts w:ascii="Times New Roman" w:hAnsi="Times New Roman"/>
                <w:b w:val="1"/>
                <w:sz w:val="24"/>
              </w:rPr>
            </w:pPr>
            <w:r>
              <w:rPr>
                <w:rFonts w:ascii="Times New Roman" w:hAnsi="Times New Roman"/>
                <w:sz w:val="24"/>
              </w:rPr>
              <w:t>1.Решение ситуационных задач «Оформление бухгалтерскими проводками начисления и перечисления сумм налогов и сборов. Оформление платежного поручения на перечисление налогов, сборов, страховых взносов»</w:t>
            </w:r>
          </w:p>
        </w:tc>
      </w:tr>
      <w:tr>
        <w:tc>
          <w:tcPr>
            <w:tcW w:type="dxa" w:w="2154"/>
            <w:gridSpan w:val="1"/>
            <w:vMerge w:val="continue"/>
          </w:tcPr>
          <w:p/>
        </w:tc>
        <w:tc>
          <w:tcPr>
            <w:tcW w:type="dxa" w:w="7480"/>
          </w:tcPr>
          <w:p w14:paraId="02020000">
            <w:pPr>
              <w:rPr>
                <w:rFonts w:ascii="Times New Roman" w:hAnsi="Times New Roman"/>
                <w:sz w:val="24"/>
              </w:rPr>
            </w:pPr>
            <w:r>
              <w:rPr>
                <w:rFonts w:ascii="Times New Roman" w:hAnsi="Times New Roman"/>
                <w:sz w:val="24"/>
              </w:rPr>
              <w:t>2. Решение ситуационных задач по исчислению налога на добавленную стоимость, подлежащего уплате в бюджет, формированию бухгалтерских проводок начисления и перечисления налога на добавленную стоимость в бюджет, оформлению платежных поручений на перечисление налога на добавленную стоимость в бюджет.</w:t>
            </w:r>
          </w:p>
        </w:tc>
      </w:tr>
      <w:tr>
        <w:tc>
          <w:tcPr>
            <w:tcW w:type="dxa" w:w="2154"/>
            <w:gridSpan w:val="1"/>
            <w:vMerge w:val="continue"/>
          </w:tcPr>
          <w:p/>
        </w:tc>
        <w:tc>
          <w:tcPr>
            <w:tcW w:type="dxa" w:w="7480"/>
          </w:tcPr>
          <w:p w14:paraId="03020000">
            <w:pPr>
              <w:rPr>
                <w:rFonts w:ascii="Times New Roman" w:hAnsi="Times New Roman"/>
                <w:sz w:val="24"/>
              </w:rPr>
            </w:pPr>
            <w:r>
              <w:rPr>
                <w:rFonts w:ascii="Times New Roman" w:hAnsi="Times New Roman"/>
                <w:sz w:val="24"/>
              </w:rPr>
              <w:t>3. Решение ситуационных задач по исчислению акцизов, подлежащих уплате в бюджеты бюджетной системы РФ, формированию бухгалтерских проводок начисления и перечисления акцизов в бюджеты бюджетной системы РФ, оформлению платежных поручений на перечисление акцизов, подлежащих уплате в бюджеты бюджетной системы РФ.</w:t>
            </w:r>
          </w:p>
        </w:tc>
      </w:tr>
      <w:tr>
        <w:tc>
          <w:tcPr>
            <w:tcW w:type="dxa" w:w="2154"/>
            <w:gridSpan w:val="1"/>
            <w:vMerge w:val="continue"/>
          </w:tcPr>
          <w:p/>
        </w:tc>
        <w:tc>
          <w:tcPr>
            <w:tcW w:type="dxa" w:w="7480"/>
          </w:tcPr>
          <w:p w14:paraId="04020000">
            <w:pPr>
              <w:rPr>
                <w:rFonts w:ascii="Times New Roman" w:hAnsi="Times New Roman"/>
                <w:sz w:val="24"/>
              </w:rPr>
            </w:pPr>
            <w:r>
              <w:rPr>
                <w:rFonts w:ascii="Times New Roman" w:hAnsi="Times New Roman"/>
                <w:sz w:val="24"/>
              </w:rPr>
              <w:t>4. Решение ситуационных задач по учету налога на прибыль организаций (авансовых платежей по налогу), формированию бухгалтерских проводок начисления и перечисления авансовых платежей и налога на прибыль организаций в бюджеты бюджетной системы РФ, оформлению платежных поручений на перечисление авансовых платежей и налога на прибыль организаций, подлежащих уплате в бюджеты бюджетной системы РФ.</w:t>
            </w:r>
          </w:p>
        </w:tc>
      </w:tr>
      <w:tr>
        <w:tc>
          <w:tcPr>
            <w:tcW w:type="dxa" w:w="2154"/>
            <w:gridSpan w:val="1"/>
            <w:vMerge w:val="continue"/>
          </w:tcPr>
          <w:p/>
        </w:tc>
        <w:tc>
          <w:tcPr>
            <w:tcW w:type="dxa" w:w="7480"/>
          </w:tcPr>
          <w:p w14:paraId="05020000">
            <w:pPr>
              <w:rPr>
                <w:rFonts w:ascii="Times New Roman" w:hAnsi="Times New Roman"/>
                <w:sz w:val="24"/>
              </w:rPr>
            </w:pPr>
            <w:r>
              <w:rPr>
                <w:rFonts w:ascii="Times New Roman" w:hAnsi="Times New Roman"/>
                <w:sz w:val="24"/>
              </w:rPr>
              <w:t>5. Решение ситуационных задач по исчислению налога на доходы физических лиц, подлежащего уплате в бюджеты бюджетной системы РФ, формированию бухгалтерских проводок начисления и перечисления налога на доходы физических лиц в бюджеты бюджетной системы РФ, оформлению платежных поручений на перечисление налога на доходы физических лиц в бюджет.</w:t>
            </w:r>
          </w:p>
        </w:tc>
      </w:tr>
      <w:tr>
        <w:tc>
          <w:tcPr>
            <w:tcW w:type="dxa" w:w="2154"/>
            <w:gridSpan w:val="1"/>
            <w:vMerge w:val="continue"/>
          </w:tcPr>
          <w:p/>
        </w:tc>
        <w:tc>
          <w:tcPr>
            <w:tcW w:type="dxa" w:w="7480"/>
          </w:tcPr>
          <w:p w14:paraId="06020000">
            <w:pPr>
              <w:rPr>
                <w:rFonts w:ascii="Times New Roman" w:hAnsi="Times New Roman"/>
                <w:sz w:val="24"/>
              </w:rPr>
            </w:pPr>
            <w:r>
              <w:rPr>
                <w:rFonts w:ascii="Times New Roman" w:hAnsi="Times New Roman"/>
                <w:sz w:val="24"/>
              </w:rPr>
              <w:t>6. Решение ситуационных задач по исчислению налога на добычу полезных ископаемых, подлежащего уплате в бюджеты бюджетной системы РФ, формированию бухгалтерских проводок начисления и перечисления налога на добычу полезных ископаемых в бюджеты бюджетной системы РФ, оформлению платежных поручений на перечисление налога на добычу полезных ископаемых в бюджет.</w:t>
            </w:r>
          </w:p>
        </w:tc>
      </w:tr>
      <w:tr>
        <w:tc>
          <w:tcPr>
            <w:tcW w:type="dxa" w:w="2154"/>
            <w:gridSpan w:val="1"/>
            <w:vMerge w:val="continue"/>
          </w:tcPr>
          <w:p/>
        </w:tc>
        <w:tc>
          <w:tcPr>
            <w:tcW w:type="dxa" w:w="7480"/>
          </w:tcPr>
          <w:p w14:paraId="07020000">
            <w:pPr>
              <w:rPr>
                <w:rFonts w:ascii="Times New Roman" w:hAnsi="Times New Roman"/>
                <w:sz w:val="24"/>
              </w:rPr>
            </w:pPr>
            <w:r>
              <w:rPr>
                <w:rFonts w:ascii="Times New Roman" w:hAnsi="Times New Roman"/>
                <w:sz w:val="24"/>
              </w:rPr>
              <w:t xml:space="preserve">7. Решение ситуационных задач по исчислению водного налога, подлежащего уплате в бюджеты бюджетной системы РФ, формированию бухгалтерских проводок начисления и перечисления </w:t>
            </w:r>
            <w:r>
              <w:rPr>
                <w:rFonts w:ascii="Times New Roman" w:hAnsi="Times New Roman"/>
                <w:sz w:val="24"/>
              </w:rPr>
              <w:t>водного налога в бюджеты бюджетной системы РФ, оформлению платежных поручений на перечисление водного налога в бюджет.</w:t>
            </w:r>
          </w:p>
        </w:tc>
      </w:tr>
      <w:tr>
        <w:tc>
          <w:tcPr>
            <w:tcW w:type="dxa" w:w="2154"/>
            <w:gridSpan w:val="1"/>
            <w:vMerge w:val="continue"/>
          </w:tcPr>
          <w:p/>
        </w:tc>
        <w:tc>
          <w:tcPr>
            <w:tcW w:type="dxa" w:w="7480"/>
          </w:tcPr>
          <w:p w14:paraId="08020000">
            <w:pPr>
              <w:rPr>
                <w:rFonts w:ascii="Times New Roman" w:hAnsi="Times New Roman"/>
                <w:sz w:val="24"/>
              </w:rPr>
            </w:pPr>
            <w:r>
              <w:rPr>
                <w:rFonts w:ascii="Times New Roman" w:hAnsi="Times New Roman"/>
                <w:sz w:val="24"/>
              </w:rPr>
              <w:t>8. Решение ситуационных задач по исчислению авансовых платежей и налога на имущество организаций, подлежащего уплате в бюджеты бюджетной системы РФ, формированию бухгалтерских проводок начисления и перечисления авансовых платежей и налога на имущество организаций в бюджеты бюджетной системы РФ, оформлению платежных поручений на перечисление авансовых платежей и налога на имущество организаций в бюджеты бюджетной системы.</w:t>
            </w:r>
          </w:p>
        </w:tc>
      </w:tr>
      <w:tr>
        <w:tc>
          <w:tcPr>
            <w:tcW w:type="dxa" w:w="2154"/>
            <w:gridSpan w:val="1"/>
            <w:vMerge w:val="continue"/>
          </w:tcPr>
          <w:p/>
        </w:tc>
        <w:tc>
          <w:tcPr>
            <w:tcW w:type="dxa" w:w="7480"/>
          </w:tcPr>
          <w:p w14:paraId="09020000">
            <w:pPr>
              <w:rPr>
                <w:rFonts w:ascii="Times New Roman" w:hAnsi="Times New Roman"/>
                <w:sz w:val="24"/>
              </w:rPr>
            </w:pPr>
            <w:r>
              <w:rPr>
                <w:rFonts w:ascii="Times New Roman" w:hAnsi="Times New Roman"/>
                <w:sz w:val="24"/>
              </w:rPr>
              <w:t xml:space="preserve"> 9.Решение ситуационных задач по исчислению авансовых платежей и транспортного налога, подлежащего уплате в бюджеты бюджетной системы РФ, формированию бухгалтерских проводок начисления и перечисления авансовых платежей и транспортного налога в бюджеты бюджетной системы РФ, оформлению платежных поручений на перечисление авансовых платежей и транспортного налога в бюджеты бюджетной системы.</w:t>
            </w:r>
          </w:p>
        </w:tc>
      </w:tr>
      <w:tr>
        <w:tc>
          <w:tcPr>
            <w:tcW w:type="dxa" w:w="2154"/>
            <w:gridSpan w:val="1"/>
            <w:vMerge w:val="continue"/>
          </w:tcPr>
          <w:p/>
        </w:tc>
        <w:tc>
          <w:tcPr>
            <w:tcW w:type="dxa" w:w="7480"/>
          </w:tcPr>
          <w:p w14:paraId="0A020000">
            <w:pPr>
              <w:rPr>
                <w:rFonts w:ascii="Times New Roman" w:hAnsi="Times New Roman"/>
                <w:sz w:val="24"/>
              </w:rPr>
            </w:pPr>
            <w:r>
              <w:rPr>
                <w:rFonts w:ascii="Times New Roman" w:hAnsi="Times New Roman"/>
                <w:sz w:val="24"/>
              </w:rPr>
              <w:t>10. Решение ситуационных задач по исчислению земельного налога, подлежащего уплате в бюджеты бюджетной системы РФ, формированию бухгалтерских проводок начисления и перечисления земельного налога в бюджеты бюджетной системы РФ, оформлению платежных поручений на перечисление земельного налога в бюджеты бюджетной системы.</w:t>
            </w:r>
          </w:p>
        </w:tc>
      </w:tr>
      <w:tr>
        <w:tc>
          <w:tcPr>
            <w:tcW w:type="dxa" w:w="2154"/>
            <w:gridSpan w:val="1"/>
            <w:vMerge w:val="continue"/>
          </w:tcPr>
          <w:p/>
        </w:tc>
        <w:tc>
          <w:tcPr>
            <w:tcW w:type="dxa" w:w="7480"/>
          </w:tcPr>
          <w:p w14:paraId="0B020000">
            <w:pPr>
              <w:rPr>
                <w:rFonts w:ascii="Times New Roman" w:hAnsi="Times New Roman"/>
                <w:sz w:val="24"/>
              </w:rPr>
            </w:pPr>
            <w:r>
              <w:rPr>
                <w:rFonts w:ascii="Times New Roman" w:hAnsi="Times New Roman"/>
                <w:sz w:val="24"/>
              </w:rPr>
              <w:t>11. Решение ситуационных задач по исчислению торгового сбора, подлежащего уплате в бюджеты бюджетной системы РФ, формированию бухгалтерских проводок начисления и перечисления торгового сбора в бюджеты бюджетной системы РФ, оформлению платежных поручений на перечисление торгового сбора в бюджеты бюджетной системы.</w:t>
            </w:r>
          </w:p>
        </w:tc>
      </w:tr>
      <w:tr>
        <w:tc>
          <w:tcPr>
            <w:tcW w:type="dxa" w:w="2154"/>
            <w:vMerge w:val="restart"/>
          </w:tcPr>
          <w:p w14:paraId="0C02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NGI0OTQ4YjgtNTlhNC00NjkwLWExNWQtNGQ2YWQwYTk2MWNhfOTo8fbo7+vo7eB8fM7w4+Dt6Ofg9uj/IPDg8ffl8u7iIPEg4f7k5uXy4OzoIOH+5Obl8u3u6SDx6PHy5ez7INDu8fHo6fHq7ukg1OXk5fDg9ujo//ZTU1NGIzNmMtYmYwNS00YTUyLWEyNDgtMDcxYjAyMjk1ODBmfPLl7OB80uXs4CA1fM7x7uHl7e3u8fLoIOjx9+jx6+Xt6P8g8fLw4PXu4vv1IOLn7e7x7uIg4u4g4u3l4f7k5uXy7fvlIPTu7eT7')"</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2.</w:t>
            </w:r>
            <w:r>
              <w:rPr>
                <w:rFonts w:ascii="Times New Roman" w:hAnsi="Times New Roman"/>
                <w:b w:val="1"/>
                <w:sz w:val="24"/>
                <w:highlight w:val="white"/>
              </w:rPr>
              <w:t>5. Особенности исчисления страховых взносов во внебюджетные фонды</w:t>
            </w:r>
            <w:r>
              <w:rPr>
                <w:rFonts w:ascii="Times New Roman" w:hAnsi="Times New Roman"/>
                <w:b w:val="1"/>
                <w:sz w:val="24"/>
                <w:highlight w:val="white"/>
              </w:rPr>
              <w:fldChar w:fldCharType="end"/>
            </w:r>
          </w:p>
        </w:tc>
        <w:tc>
          <w:tcPr>
            <w:tcW w:type="dxa" w:w="7480"/>
          </w:tcPr>
          <w:p w14:paraId="0D020000">
            <w:pPr>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0E020000">
            <w:pPr>
              <w:rPr>
                <w:rFonts w:ascii="Times New Roman" w:hAnsi="Times New Roman"/>
                <w:sz w:val="24"/>
              </w:rPr>
            </w:pPr>
            <w:r>
              <w:rPr>
                <w:rFonts w:ascii="Times New Roman" w:hAnsi="Times New Roman"/>
                <w:sz w:val="24"/>
              </w:rPr>
              <w:t>Особенности начисления и перечисления сумм в ПФР. Порядок и сроки исчисления взносов в ПФР.</w:t>
            </w:r>
          </w:p>
          <w:p w14:paraId="0F020000">
            <w:pPr>
              <w:rPr>
                <w:rFonts w:ascii="Times New Roman" w:hAnsi="Times New Roman"/>
                <w:sz w:val="24"/>
              </w:rPr>
            </w:pPr>
            <w:r>
              <w:rPr>
                <w:rFonts w:ascii="Times New Roman" w:hAnsi="Times New Roman"/>
                <w:sz w:val="24"/>
              </w:rPr>
              <w:t>Особенности начисления и перечисления сумм в ФСС. Порядок и сроки исчисления взносов в ФСС.</w:t>
            </w:r>
          </w:p>
          <w:p w14:paraId="10020000">
            <w:pPr>
              <w:rPr>
                <w:rFonts w:ascii="Times New Roman" w:hAnsi="Times New Roman"/>
                <w:sz w:val="24"/>
              </w:rPr>
            </w:pPr>
            <w:r>
              <w:rPr>
                <w:rFonts w:ascii="Times New Roman" w:hAnsi="Times New Roman"/>
                <w:sz w:val="24"/>
              </w:rPr>
              <w:t>Особенности начисления и перечисления сумм в ФФОМС и ТФОМС. Порядок и сроки исчисления взносов ФФОМС и ТФОМС.</w:t>
            </w:r>
          </w:p>
          <w:p w14:paraId="11020000">
            <w:pPr>
              <w:rPr>
                <w:rFonts w:ascii="Times New Roman" w:hAnsi="Times New Roman"/>
                <w:sz w:val="24"/>
              </w:rPr>
            </w:pPr>
            <w:r>
              <w:rPr>
                <w:rFonts w:ascii="Times New Roman" w:hAnsi="Times New Roman"/>
                <w:sz w:val="24"/>
              </w:rPr>
              <w:t>Особенности начисления и перечисления взносов на страхование от несчастных случаев на производстве и профессиональных заболеваний.</w:t>
            </w:r>
          </w:p>
        </w:tc>
      </w:tr>
      <w:tr>
        <w:tc>
          <w:tcPr>
            <w:tcW w:type="dxa" w:w="2154"/>
            <w:gridSpan w:val="1"/>
            <w:vMerge w:val="continue"/>
          </w:tcPr>
          <w:p/>
        </w:tc>
        <w:tc>
          <w:tcPr>
            <w:tcW w:type="dxa" w:w="7480"/>
          </w:tcPr>
          <w:p w14:paraId="1202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13020000">
            <w:pPr>
              <w:rPr>
                <w:rFonts w:ascii="Times New Roman" w:hAnsi="Times New Roman"/>
                <w:sz w:val="24"/>
              </w:rPr>
            </w:pPr>
            <w:r>
              <w:rPr>
                <w:rFonts w:ascii="Times New Roman" w:hAnsi="Times New Roman"/>
                <w:sz w:val="24"/>
              </w:rPr>
              <w:t>1. Решение ситуационных задач по исчислению страховых взносов, подлежащих уплате в бюджеты бюджетной системы РФ.</w:t>
            </w:r>
          </w:p>
        </w:tc>
      </w:tr>
      <w:tr>
        <w:tc>
          <w:tcPr>
            <w:tcW w:type="dxa" w:w="2154"/>
            <w:vMerge w:val="restart"/>
          </w:tcPr>
          <w:p w14:paraId="14020000">
            <w:pP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NGI0OTQ4YjgtNTlhNC00NjkwLWExNWQtNGQ2YWQwYTk2MWNhfOTo8fbo7+vo7eB8fM7w4+Dt6Ofg9uj/IPDg8ffl8u7iIPEg4f7k5uXy4OzoIOH+5Obl8u3u6SDx6PHy5ez7INDu8fHo6fHq7ukg1OXk5fDg9ujo//ZTM5N2Q5MjMtNDQ1Ny00NWI4LTg0ZjAtOGRhODlkZjY1ZGY0fPLl7OB80uXs4CA2fMHz9ePg6/Ll8PHq6Okg8/fl8iDw4PH35fLu4iDv7iDx7vbo4Ov87e7s8yDx8vDg9e7i4O3o/iDoIO7h5fHv5ffl7ej+Lg==')"</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2.</w:t>
            </w:r>
            <w:r>
              <w:rPr>
                <w:rFonts w:ascii="Times New Roman" w:hAnsi="Times New Roman"/>
                <w:b w:val="1"/>
                <w:sz w:val="24"/>
                <w:highlight w:val="white"/>
              </w:rPr>
              <w:t>6. Бухгалтерский учет расчетов по социальному страхованию и обеспечению.</w:t>
            </w:r>
            <w:r>
              <w:rPr>
                <w:rFonts w:ascii="Times New Roman" w:hAnsi="Times New Roman"/>
                <w:b w:val="1"/>
                <w:sz w:val="24"/>
                <w:highlight w:val="white"/>
              </w:rPr>
              <w:fldChar w:fldCharType="end"/>
            </w:r>
          </w:p>
        </w:tc>
        <w:tc>
          <w:tcPr>
            <w:tcW w:type="dxa" w:w="7480"/>
          </w:tcPr>
          <w:p w14:paraId="15020000">
            <w:pPr>
              <w:rPr>
                <w:rFonts w:ascii="Times New Roman" w:hAnsi="Times New Roman"/>
                <w:sz w:val="24"/>
              </w:rPr>
            </w:pPr>
            <w:r>
              <w:rPr>
                <w:rFonts w:ascii="Times New Roman" w:hAnsi="Times New Roman"/>
                <w:b w:val="1"/>
                <w:sz w:val="24"/>
              </w:rPr>
              <w:t>Содержание</w:t>
            </w:r>
          </w:p>
        </w:tc>
      </w:tr>
      <w:tr>
        <w:tc>
          <w:tcPr>
            <w:tcW w:type="dxa" w:w="2154"/>
            <w:gridSpan w:val="1"/>
            <w:vMerge w:val="continue"/>
          </w:tcPr>
          <w:p/>
        </w:tc>
        <w:tc>
          <w:tcPr>
            <w:tcW w:type="dxa" w:w="7480"/>
          </w:tcPr>
          <w:p w14:paraId="16020000">
            <w:pPr>
              <w:rPr>
                <w:rFonts w:ascii="Times New Roman" w:hAnsi="Times New Roman"/>
                <w:sz w:val="24"/>
              </w:rPr>
            </w:pPr>
            <w:r>
              <w:rPr>
                <w:rFonts w:ascii="Times New Roman" w:hAnsi="Times New Roman"/>
                <w:sz w:val="24"/>
              </w:rPr>
              <w:t>Синтетический и аналитический учет по счету 69 «Расчеты по социальному страхованию и обеспечению». Формировать бухгалтерские проводки по начислению и перечислению страховых взносов во внебюджетные фонды.</w:t>
            </w:r>
          </w:p>
          <w:p w14:paraId="17020000">
            <w:pPr>
              <w:rPr>
                <w:rFonts w:ascii="Times New Roman" w:hAnsi="Times New Roman"/>
                <w:sz w:val="24"/>
              </w:rPr>
            </w:pPr>
            <w:r>
              <w:rPr>
                <w:rFonts w:ascii="Times New Roman" w:hAnsi="Times New Roman"/>
                <w:sz w:val="24"/>
              </w:rPr>
              <w:t xml:space="preserve">Использование средств внебюджетных фондов. </w:t>
            </w:r>
          </w:p>
          <w:p w14:paraId="18020000">
            <w:pPr>
              <w:rPr>
                <w:rFonts w:ascii="Times New Roman" w:hAnsi="Times New Roman"/>
                <w:sz w:val="24"/>
              </w:rPr>
            </w:pPr>
            <w:r>
              <w:rPr>
                <w:rFonts w:ascii="Times New Roman" w:hAnsi="Times New Roman"/>
                <w:sz w:val="24"/>
              </w:rPr>
              <w:t xml:space="preserve">Порядок заполнения платежных поручений по перечислению страховых взносов во внебюджетные фонды. </w:t>
            </w:r>
          </w:p>
          <w:p w14:paraId="19020000">
            <w:pPr>
              <w:rPr>
                <w:rFonts w:ascii="Times New Roman" w:hAnsi="Times New Roman"/>
                <w:sz w:val="24"/>
              </w:rPr>
            </w:pPr>
            <w:r>
              <w:rPr>
                <w:rFonts w:ascii="Times New Roman" w:hAnsi="Times New Roman"/>
                <w:sz w:val="24"/>
              </w:rPr>
              <w:t>Процедура контроля прохождения платежных поручений по расчетно-кассовым банковским операциям с использованием выписок банка.</w:t>
            </w:r>
          </w:p>
        </w:tc>
      </w:tr>
      <w:tr>
        <w:tc>
          <w:tcPr>
            <w:tcW w:type="dxa" w:w="2154"/>
            <w:gridSpan w:val="1"/>
            <w:vMerge w:val="continue"/>
          </w:tcPr>
          <w:p/>
        </w:tc>
        <w:tc>
          <w:tcPr>
            <w:tcW w:type="dxa" w:w="7480"/>
          </w:tcPr>
          <w:p w14:paraId="1A02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154"/>
            <w:gridSpan w:val="1"/>
            <w:vMerge w:val="continue"/>
          </w:tcPr>
          <w:p/>
        </w:tc>
        <w:tc>
          <w:tcPr>
            <w:tcW w:type="dxa" w:w="7480"/>
          </w:tcPr>
          <w:p w14:paraId="1B020000">
            <w:pPr>
              <w:tabs>
                <w:tab w:leader="none" w:pos="5985" w:val="left"/>
              </w:tabs>
              <w:ind/>
              <w:rPr>
                <w:rFonts w:ascii="Times New Roman" w:hAnsi="Times New Roman"/>
                <w:sz w:val="24"/>
              </w:rPr>
            </w:pPr>
            <w:r>
              <w:rPr>
                <w:rFonts w:ascii="Times New Roman" w:hAnsi="Times New Roman"/>
                <w:sz w:val="24"/>
              </w:rPr>
              <w:t>1. Решение ситуационных задач по формированию бухгалтерских проводок начисления и перечисления страховых взносов в бюджеты бюджетной системы РФ.</w:t>
            </w:r>
          </w:p>
        </w:tc>
      </w:tr>
      <w:tr>
        <w:tc>
          <w:tcPr>
            <w:tcW w:type="dxa" w:w="2154"/>
            <w:gridSpan w:val="1"/>
            <w:vMerge w:val="continue"/>
          </w:tcPr>
          <w:p/>
        </w:tc>
        <w:tc>
          <w:tcPr>
            <w:tcW w:type="dxa" w:w="7480"/>
          </w:tcPr>
          <w:p w14:paraId="1C020000">
            <w:pPr>
              <w:tabs>
                <w:tab w:leader="none" w:pos="5985" w:val="left"/>
              </w:tabs>
              <w:ind/>
              <w:rPr>
                <w:rFonts w:ascii="Times New Roman" w:hAnsi="Times New Roman"/>
                <w:sz w:val="24"/>
              </w:rPr>
            </w:pPr>
            <w:r>
              <w:rPr>
                <w:rFonts w:ascii="Times New Roman" w:hAnsi="Times New Roman"/>
                <w:sz w:val="24"/>
              </w:rPr>
              <w:t>2. Решение ситуационных задач по оформлению платежных поручений на перечисление страховых взносов в бюджеты бюджетной системы.</w:t>
            </w:r>
          </w:p>
        </w:tc>
      </w:tr>
      <w:tr>
        <w:tc>
          <w:tcPr>
            <w:tcW w:type="dxa" w:w="9634"/>
            <w:gridSpan w:val="2"/>
          </w:tcPr>
          <w:p w14:paraId="1D020000">
            <w:pPr>
              <w:rPr>
                <w:rFonts w:ascii="Times New Roman" w:hAnsi="Times New Roman"/>
                <w:b w:val="1"/>
                <w:sz w:val="24"/>
              </w:rPr>
            </w:pPr>
            <w:r>
              <w:rPr>
                <w:rFonts w:ascii="Times New Roman" w:hAnsi="Times New Roman"/>
                <w:b w:val="1"/>
                <w:sz w:val="24"/>
              </w:rPr>
              <w:t>Примерная тематика самостоятельной учебной работы при изучении раздела МДК.01.01</w:t>
            </w:r>
            <w:r>
              <w:rPr>
                <w:rFonts w:ascii="Times New Roman" w:hAnsi="Times New Roman"/>
                <w:b w:val="1"/>
                <w:sz w:val="24"/>
                <w:vertAlign w:val="superscript"/>
              </w:rPr>
              <w:footnoteReference w:id="3"/>
            </w:r>
          </w:p>
          <w:p w14:paraId="1E020000">
            <w:pPr>
              <w:numPr>
                <w:ilvl w:val="0"/>
                <w:numId w:val="6"/>
              </w:numPr>
              <w:tabs>
                <w:tab w:leader="none" w:pos="308" w:val="left"/>
              </w:tabs>
              <w:ind w:firstLine="0" w:left="0"/>
              <w:contextualSpacing w:val="1"/>
              <w:rPr>
                <w:rFonts w:ascii="Times New Roman" w:hAnsi="Times New Roman"/>
                <w:sz w:val="24"/>
              </w:rPr>
            </w:pPr>
            <w:r>
              <w:rPr>
                <w:rFonts w:ascii="Times New Roman" w:hAnsi="Times New Roman"/>
                <w:sz w:val="24"/>
              </w:rPr>
              <w:t>Подготовка и выполнение Презентаций и Кейса по теме «Учет денежных средств на расчетных и специальных счетах в банке»</w:t>
            </w:r>
          </w:p>
          <w:p w14:paraId="1F020000">
            <w:pPr>
              <w:numPr>
                <w:ilvl w:val="0"/>
                <w:numId w:val="6"/>
              </w:numPr>
              <w:tabs>
                <w:tab w:leader="none" w:pos="308" w:val="left"/>
              </w:tabs>
              <w:ind w:firstLine="0" w:left="0"/>
              <w:contextualSpacing w:val="1"/>
              <w:rPr>
                <w:rFonts w:ascii="Times New Roman" w:hAnsi="Times New Roman"/>
                <w:sz w:val="24"/>
              </w:rPr>
            </w:pPr>
            <w:r>
              <w:rPr>
                <w:rFonts w:ascii="Times New Roman" w:hAnsi="Times New Roman"/>
                <w:sz w:val="24"/>
              </w:rPr>
              <w:t>Подготовка и выполнение Презентаций и Кейса по теме «Учет денежных средств в кассе»</w:t>
            </w:r>
          </w:p>
          <w:p w14:paraId="20020000">
            <w:pPr>
              <w:numPr>
                <w:ilvl w:val="0"/>
                <w:numId w:val="6"/>
              </w:numPr>
              <w:tabs>
                <w:tab w:leader="none" w:pos="308" w:val="left"/>
              </w:tabs>
              <w:ind w:firstLine="0" w:left="0"/>
              <w:contextualSpacing w:val="1"/>
              <w:rPr>
                <w:rFonts w:ascii="Times New Roman" w:hAnsi="Times New Roman"/>
                <w:sz w:val="24"/>
              </w:rPr>
            </w:pPr>
            <w:r>
              <w:rPr>
                <w:rFonts w:ascii="Times New Roman" w:hAnsi="Times New Roman"/>
                <w:sz w:val="24"/>
              </w:rPr>
              <w:t>Подготовка и выполнение Презентаций и Кейса по теме «Учет кассовых операций в иностранной валюте и операций по валютным счетам в банке»</w:t>
            </w:r>
          </w:p>
          <w:p w14:paraId="21020000">
            <w:pPr>
              <w:numPr>
                <w:ilvl w:val="0"/>
                <w:numId w:val="6"/>
              </w:numPr>
              <w:tabs>
                <w:tab w:leader="none" w:pos="308" w:val="left"/>
              </w:tabs>
              <w:ind w:firstLine="0" w:left="0"/>
              <w:contextualSpacing w:val="1"/>
              <w:rPr>
                <w:rFonts w:ascii="Times New Roman" w:hAnsi="Times New Roman"/>
                <w:sz w:val="24"/>
              </w:rPr>
            </w:pPr>
            <w:r>
              <w:rPr>
                <w:rFonts w:ascii="Times New Roman" w:hAnsi="Times New Roman"/>
                <w:sz w:val="24"/>
              </w:rPr>
              <w:t xml:space="preserve">Подготовка и выполнение Презентаций и Кейса по теме «Учет основных средств» </w:t>
            </w:r>
          </w:p>
          <w:p w14:paraId="22020000">
            <w:pPr>
              <w:numPr>
                <w:ilvl w:val="0"/>
                <w:numId w:val="6"/>
              </w:numPr>
              <w:tabs>
                <w:tab w:leader="none" w:pos="308" w:val="left"/>
              </w:tabs>
              <w:ind w:firstLine="0" w:left="0"/>
              <w:contextualSpacing w:val="1"/>
              <w:rPr>
                <w:rFonts w:ascii="Times New Roman" w:hAnsi="Times New Roman"/>
                <w:sz w:val="24"/>
              </w:rPr>
            </w:pPr>
            <w:r>
              <w:rPr>
                <w:rFonts w:ascii="Times New Roman" w:hAnsi="Times New Roman"/>
                <w:sz w:val="24"/>
              </w:rPr>
              <w:t xml:space="preserve">Подготовка и выполнение Презентаций и Кейса по теме «Учет запасов» </w:t>
            </w:r>
          </w:p>
          <w:p w14:paraId="23020000">
            <w:pPr>
              <w:numPr>
                <w:ilvl w:val="0"/>
                <w:numId w:val="6"/>
              </w:numPr>
              <w:tabs>
                <w:tab w:leader="none" w:pos="308" w:val="left"/>
              </w:tabs>
              <w:ind w:firstLine="0" w:left="0"/>
              <w:contextualSpacing w:val="1"/>
              <w:rPr>
                <w:rFonts w:ascii="Times New Roman" w:hAnsi="Times New Roman"/>
                <w:sz w:val="24"/>
              </w:rPr>
            </w:pPr>
            <w:r>
              <w:rPr>
                <w:rFonts w:ascii="Times New Roman" w:hAnsi="Times New Roman"/>
                <w:sz w:val="24"/>
              </w:rPr>
              <w:t xml:space="preserve">Подготовка и выполнение Презентаций и Кейса по теме «Учет нематериальных активов» </w:t>
            </w:r>
          </w:p>
          <w:p w14:paraId="24020000">
            <w:pPr>
              <w:numPr>
                <w:ilvl w:val="0"/>
                <w:numId w:val="6"/>
              </w:numPr>
              <w:tabs>
                <w:tab w:leader="none" w:pos="308" w:val="left"/>
              </w:tabs>
              <w:ind w:firstLine="0" w:left="0"/>
              <w:contextualSpacing w:val="1"/>
              <w:rPr>
                <w:rFonts w:ascii="Times New Roman" w:hAnsi="Times New Roman"/>
                <w:sz w:val="24"/>
              </w:rPr>
            </w:pPr>
            <w:r>
              <w:rPr>
                <w:rFonts w:ascii="Times New Roman" w:hAnsi="Times New Roman"/>
                <w:sz w:val="24"/>
              </w:rPr>
              <w:t xml:space="preserve">Подготовка и выполнение Презентаций и Кейса по теме «Учет готовой продукции» </w:t>
            </w:r>
          </w:p>
          <w:p w14:paraId="25020000">
            <w:pPr>
              <w:numPr>
                <w:ilvl w:val="0"/>
                <w:numId w:val="6"/>
              </w:numPr>
              <w:tabs>
                <w:tab w:leader="none" w:pos="308" w:val="left"/>
              </w:tabs>
              <w:ind w:firstLine="0" w:left="0"/>
              <w:contextualSpacing w:val="1"/>
              <w:rPr>
                <w:rFonts w:ascii="Times New Roman" w:hAnsi="Times New Roman"/>
                <w:sz w:val="24"/>
              </w:rPr>
            </w:pPr>
            <w:r>
              <w:rPr>
                <w:rFonts w:ascii="Times New Roman" w:hAnsi="Times New Roman"/>
                <w:sz w:val="24"/>
              </w:rPr>
              <w:t xml:space="preserve">Подготовка и выполнение Презентаций и Кейса по теме «Учет затрат на производство и калькулирование себестоимости» </w:t>
            </w:r>
          </w:p>
          <w:p w14:paraId="26020000">
            <w:pPr>
              <w:numPr>
                <w:ilvl w:val="0"/>
                <w:numId w:val="6"/>
              </w:numPr>
              <w:tabs>
                <w:tab w:leader="none" w:pos="308" w:val="left"/>
              </w:tabs>
              <w:ind w:firstLine="0" w:left="0"/>
              <w:contextualSpacing w:val="1"/>
              <w:rPr>
                <w:rFonts w:ascii="Times New Roman" w:hAnsi="Times New Roman"/>
                <w:sz w:val="24"/>
              </w:rPr>
            </w:pPr>
            <w:r>
              <w:rPr>
                <w:rFonts w:ascii="Times New Roman" w:hAnsi="Times New Roman"/>
                <w:sz w:val="24"/>
              </w:rPr>
              <w:t xml:space="preserve">Подготовка и выполнение Презентаций и Кейса по теме «Учет долгосрочных инвестиций» </w:t>
            </w:r>
          </w:p>
          <w:p w14:paraId="27020000">
            <w:pPr>
              <w:numPr>
                <w:ilvl w:val="0"/>
                <w:numId w:val="6"/>
              </w:numPr>
              <w:tabs>
                <w:tab w:leader="none" w:pos="308" w:val="left"/>
              </w:tabs>
              <w:ind w:firstLine="0" w:left="0"/>
              <w:contextualSpacing w:val="1"/>
              <w:rPr>
                <w:rFonts w:ascii="Times New Roman" w:hAnsi="Times New Roman"/>
                <w:sz w:val="24"/>
              </w:rPr>
            </w:pPr>
            <w:r>
              <w:rPr>
                <w:rFonts w:ascii="Times New Roman" w:hAnsi="Times New Roman"/>
                <w:sz w:val="24"/>
              </w:rPr>
              <w:t xml:space="preserve">Подготовка и выполнение Презентаций и Кейса по теме «Учет финансовых вложений» </w:t>
            </w:r>
          </w:p>
          <w:p w14:paraId="28020000">
            <w:pPr>
              <w:rPr>
                <w:rFonts w:ascii="Times New Roman" w:hAnsi="Times New Roman"/>
                <w:b w:val="1"/>
                <w:sz w:val="24"/>
              </w:rPr>
            </w:pPr>
            <w:r>
              <w:rPr>
                <w:rFonts w:ascii="Times New Roman" w:hAnsi="Times New Roman"/>
                <w:sz w:val="24"/>
              </w:rPr>
              <w:t>11. Подготовка и выполнение Презентаций и Кейса по теме «Учет дебиторской и кредиторской задолженности»</w:t>
            </w:r>
          </w:p>
        </w:tc>
      </w:tr>
      <w:tr>
        <w:tc>
          <w:tcPr>
            <w:tcW w:type="dxa" w:w="9634"/>
            <w:gridSpan w:val="2"/>
          </w:tcPr>
          <w:p w14:paraId="29020000">
            <w:pPr>
              <w:rPr>
                <w:rFonts w:ascii="Times New Roman" w:hAnsi="Times New Roman"/>
                <w:i w:val="1"/>
                <w:sz w:val="24"/>
              </w:rPr>
            </w:pPr>
            <w:r>
              <w:rPr>
                <w:rFonts w:ascii="Times New Roman" w:hAnsi="Times New Roman"/>
                <w:b w:val="1"/>
                <w:sz w:val="24"/>
              </w:rPr>
              <w:t xml:space="preserve">Учебная практика раздела 1 </w:t>
            </w:r>
          </w:p>
          <w:p w14:paraId="2A020000">
            <w:pPr>
              <w:rPr>
                <w:rFonts w:ascii="Times New Roman" w:hAnsi="Times New Roman"/>
                <w:b w:val="1"/>
                <w:sz w:val="24"/>
              </w:rPr>
            </w:pPr>
            <w:r>
              <w:rPr>
                <w:rFonts w:ascii="Times New Roman" w:hAnsi="Times New Roman"/>
                <w:b w:val="1"/>
                <w:sz w:val="24"/>
              </w:rPr>
              <w:t>Виды работ</w:t>
            </w:r>
            <w:r>
              <w:rPr>
                <w:rFonts w:ascii="Times New Roman" w:hAnsi="Times New Roman"/>
                <w:b w:val="1"/>
                <w:sz w:val="24"/>
              </w:rPr>
              <w:t>:</w:t>
            </w:r>
            <w:r>
              <w:rPr>
                <w:rFonts w:ascii="Times New Roman" w:hAnsi="Times New Roman"/>
                <w:b w:val="1"/>
                <w:sz w:val="24"/>
              </w:rPr>
              <w:t xml:space="preserve"> </w:t>
            </w:r>
          </w:p>
          <w:p w14:paraId="2B020000">
            <w:pPr>
              <w:widowControl w:val="0"/>
              <w:numPr>
                <w:ilvl w:val="0"/>
                <w:numId w:val="7"/>
              </w:numPr>
              <w:tabs>
                <w:tab w:leader="none" w:pos="308" w:val="left"/>
              </w:tabs>
              <w:ind w:firstLine="0" w:left="0"/>
              <w:contextualSpacing w:val="1"/>
              <w:jc w:val="both"/>
              <w:rPr>
                <w:rFonts w:ascii="Times New Roman" w:hAnsi="Times New Roman"/>
                <w:sz w:val="24"/>
              </w:rPr>
            </w:pPr>
            <w:r>
              <w:rPr>
                <w:rFonts w:ascii="Times New Roman" w:hAnsi="Times New Roman"/>
                <w:sz w:val="24"/>
              </w:rPr>
              <w:t xml:space="preserve">Заполнение справки об условной организации, ее организационно-правовой собственности, специализации производства. </w:t>
            </w:r>
          </w:p>
          <w:p w14:paraId="2C020000">
            <w:pPr>
              <w:widowControl w:val="0"/>
              <w:numPr>
                <w:ilvl w:val="0"/>
                <w:numId w:val="7"/>
              </w:numPr>
              <w:tabs>
                <w:tab w:leader="none" w:pos="308" w:val="left"/>
              </w:tabs>
              <w:ind w:firstLine="0" w:left="0"/>
              <w:contextualSpacing w:val="1"/>
              <w:jc w:val="both"/>
              <w:rPr>
                <w:rFonts w:ascii="Times New Roman" w:hAnsi="Times New Roman"/>
                <w:sz w:val="24"/>
              </w:rPr>
            </w:pPr>
            <w:r>
              <w:rPr>
                <w:rFonts w:ascii="Times New Roman" w:hAnsi="Times New Roman"/>
                <w:color w:val="000000"/>
                <w:sz w:val="24"/>
                <w:highlight w:val="white"/>
              </w:rPr>
              <w:t>Формирование учетной политики условной организации.</w:t>
            </w:r>
          </w:p>
          <w:p w14:paraId="2D020000">
            <w:pPr>
              <w:widowControl w:val="0"/>
              <w:numPr>
                <w:ilvl w:val="0"/>
                <w:numId w:val="7"/>
              </w:numPr>
              <w:tabs>
                <w:tab w:leader="none" w:pos="308" w:val="left"/>
              </w:tabs>
              <w:ind w:firstLine="0" w:left="0"/>
              <w:contextualSpacing w:val="1"/>
              <w:jc w:val="both"/>
              <w:rPr>
                <w:rFonts w:ascii="Times New Roman" w:hAnsi="Times New Roman"/>
                <w:sz w:val="24"/>
              </w:rPr>
            </w:pPr>
            <w:r>
              <w:rPr>
                <w:rFonts w:ascii="Times New Roman" w:hAnsi="Times New Roman"/>
                <w:sz w:val="24"/>
              </w:rPr>
              <w:t>Разработка рабочего плана счетов бухгалтерского учета, применяемого в организации.</w:t>
            </w:r>
          </w:p>
          <w:p w14:paraId="2E020000">
            <w:pPr>
              <w:widowControl w:val="0"/>
              <w:numPr>
                <w:ilvl w:val="0"/>
                <w:numId w:val="7"/>
              </w:numPr>
              <w:tabs>
                <w:tab w:leader="none" w:pos="308" w:val="left"/>
              </w:tabs>
              <w:ind w:firstLine="0" w:left="0"/>
              <w:contextualSpacing w:val="1"/>
              <w:jc w:val="both"/>
              <w:rPr>
                <w:rFonts w:ascii="Times New Roman" w:hAnsi="Times New Roman"/>
                <w:sz w:val="24"/>
              </w:rPr>
            </w:pPr>
            <w:r>
              <w:rPr>
                <w:rFonts w:ascii="Times New Roman" w:hAnsi="Times New Roman"/>
                <w:sz w:val="24"/>
              </w:rPr>
              <w:t>Отражение данных об остатках на счетах бухгалтерского учета.</w:t>
            </w:r>
          </w:p>
          <w:p w14:paraId="2F020000">
            <w:pPr>
              <w:widowControl w:val="0"/>
              <w:numPr>
                <w:ilvl w:val="0"/>
                <w:numId w:val="7"/>
              </w:numPr>
              <w:tabs>
                <w:tab w:leader="none" w:pos="308" w:val="left"/>
              </w:tabs>
              <w:ind w:firstLine="0" w:left="0"/>
              <w:contextualSpacing w:val="1"/>
              <w:jc w:val="both"/>
              <w:rPr>
                <w:rFonts w:ascii="Times New Roman" w:hAnsi="Times New Roman"/>
                <w:sz w:val="24"/>
              </w:rPr>
            </w:pPr>
            <w:r>
              <w:rPr>
                <w:rFonts w:ascii="Times New Roman" w:hAnsi="Times New Roman"/>
                <w:sz w:val="24"/>
              </w:rPr>
              <w:t>Проверка и обработка первичных бухгалтерских документов.</w:t>
            </w:r>
          </w:p>
          <w:p w14:paraId="30020000">
            <w:pPr>
              <w:widowControl w:val="0"/>
              <w:numPr>
                <w:ilvl w:val="0"/>
                <w:numId w:val="7"/>
              </w:numPr>
              <w:tabs>
                <w:tab w:leader="none" w:pos="308" w:val="left"/>
              </w:tabs>
              <w:ind w:firstLine="0" w:left="0"/>
              <w:contextualSpacing w:val="1"/>
              <w:jc w:val="both"/>
              <w:rPr>
                <w:rFonts w:ascii="Times New Roman" w:hAnsi="Times New Roman"/>
                <w:sz w:val="24"/>
              </w:rPr>
            </w:pPr>
            <w:r>
              <w:rPr>
                <w:rFonts w:ascii="Times New Roman" w:hAnsi="Times New Roman"/>
                <w:sz w:val="24"/>
              </w:rPr>
              <w:t>Исправление ошибок в бухгалтерских документах и в учетных регистрах.</w:t>
            </w:r>
          </w:p>
          <w:p w14:paraId="31020000">
            <w:pPr>
              <w:numPr>
                <w:ilvl w:val="0"/>
                <w:numId w:val="7"/>
              </w:numPr>
              <w:tabs>
                <w:tab w:leader="none" w:pos="284" w:val="left"/>
              </w:tabs>
              <w:ind w:firstLine="0" w:left="0"/>
              <w:jc w:val="both"/>
              <w:rPr>
                <w:rFonts w:ascii="Times New Roman" w:hAnsi="Times New Roman"/>
                <w:sz w:val="24"/>
              </w:rPr>
            </w:pPr>
            <w:r>
              <w:rPr>
                <w:rFonts w:ascii="Times New Roman" w:hAnsi="Times New Roman"/>
                <w:sz w:val="24"/>
              </w:rPr>
              <w:t xml:space="preserve">Заполнение учетных регистров по учету расчетов с разными дебиторами и кредиторами. </w:t>
            </w:r>
            <w:r>
              <w:rPr>
                <w:rFonts w:ascii="Times New Roman" w:hAnsi="Times New Roman"/>
                <w:sz w:val="24"/>
              </w:rPr>
              <w:t>Учет расчетов с подотчетными лицами.</w:t>
            </w:r>
          </w:p>
          <w:p w14:paraId="32020000">
            <w:pPr>
              <w:rPr>
                <w:rFonts w:ascii="Times New Roman" w:hAnsi="Times New Roman"/>
                <w:b w:val="1"/>
                <w:sz w:val="24"/>
              </w:rPr>
            </w:pPr>
            <w:r>
              <w:rPr>
                <w:rFonts w:ascii="Times New Roman" w:hAnsi="Times New Roman"/>
                <w:color w:val="000000"/>
                <w:sz w:val="24"/>
              </w:rPr>
              <w:t>Оформить и защитить Отчет по практике.</w:t>
            </w:r>
          </w:p>
        </w:tc>
      </w:tr>
      <w:tr>
        <w:tc>
          <w:tcPr>
            <w:tcW w:type="dxa" w:w="9634"/>
            <w:gridSpan w:val="2"/>
          </w:tcPr>
          <w:p w14:paraId="33020000">
            <w:pPr>
              <w:rPr>
                <w:rFonts w:ascii="Times New Roman" w:hAnsi="Times New Roman"/>
                <w:i w:val="1"/>
                <w:sz w:val="24"/>
              </w:rPr>
            </w:pPr>
            <w:r>
              <w:rPr>
                <w:rFonts w:ascii="Times New Roman" w:hAnsi="Times New Roman"/>
                <w:b w:val="1"/>
                <w:sz w:val="24"/>
              </w:rPr>
              <w:t>Производственная практика</w:t>
            </w:r>
          </w:p>
          <w:p w14:paraId="34020000">
            <w:pPr>
              <w:rPr>
                <w:rFonts w:ascii="Times New Roman" w:hAnsi="Times New Roman"/>
                <w:b w:val="1"/>
                <w:sz w:val="24"/>
              </w:rPr>
            </w:pPr>
            <w:r>
              <w:rPr>
                <w:rFonts w:ascii="Times New Roman" w:hAnsi="Times New Roman"/>
                <w:b w:val="1"/>
                <w:sz w:val="24"/>
              </w:rPr>
              <w:t>Виды работ:</w:t>
            </w:r>
          </w:p>
          <w:p w14:paraId="35020000">
            <w:pPr>
              <w:numPr>
                <w:ilvl w:val="0"/>
                <w:numId w:val="8"/>
              </w:numPr>
              <w:tabs>
                <w:tab w:leader="none" w:pos="284" w:val="left"/>
              </w:tabs>
              <w:ind w:firstLine="0" w:left="0"/>
              <w:jc w:val="both"/>
              <w:rPr>
                <w:rFonts w:ascii="Times New Roman" w:hAnsi="Times New Roman"/>
                <w:sz w:val="24"/>
              </w:rPr>
            </w:pPr>
            <w:r>
              <w:rPr>
                <w:rFonts w:ascii="Times New Roman" w:hAnsi="Times New Roman"/>
                <w:color w:val="000000"/>
                <w:sz w:val="24"/>
                <w:highlight w:val="white"/>
              </w:rPr>
              <w:t>Разработка рабочего плана счетов экономического субъекта и сравнение его с типовым планом счетов бухгалтерского учета финансово-хозяйственной деятельности.</w:t>
            </w:r>
          </w:p>
          <w:p w14:paraId="36020000">
            <w:pPr>
              <w:numPr>
                <w:ilvl w:val="0"/>
                <w:numId w:val="8"/>
              </w:numPr>
              <w:tabs>
                <w:tab w:leader="none" w:pos="284" w:val="left"/>
              </w:tabs>
              <w:ind w:firstLine="0" w:left="0"/>
              <w:jc w:val="both"/>
              <w:rPr>
                <w:rFonts w:ascii="Times New Roman" w:hAnsi="Times New Roman"/>
                <w:sz w:val="24"/>
              </w:rPr>
            </w:pPr>
            <w:r>
              <w:rPr>
                <w:rFonts w:ascii="Times New Roman" w:hAnsi="Times New Roman"/>
                <w:color w:val="000000"/>
                <w:sz w:val="24"/>
                <w:highlight w:val="white"/>
              </w:rPr>
              <w:t>Ознакомление и изучение формирования учетной политики организации.</w:t>
            </w:r>
          </w:p>
          <w:p w14:paraId="37020000">
            <w:pPr>
              <w:numPr>
                <w:ilvl w:val="0"/>
                <w:numId w:val="8"/>
              </w:numPr>
              <w:tabs>
                <w:tab w:leader="none" w:pos="284" w:val="left"/>
              </w:tabs>
              <w:ind w:firstLine="0" w:left="0"/>
              <w:jc w:val="both"/>
              <w:rPr>
                <w:rFonts w:ascii="Times New Roman" w:hAnsi="Times New Roman"/>
                <w:sz w:val="24"/>
              </w:rPr>
            </w:pPr>
            <w:r>
              <w:rPr>
                <w:rFonts w:ascii="Times New Roman" w:hAnsi="Times New Roman"/>
                <w:color w:val="000000"/>
                <w:sz w:val="24"/>
                <w:highlight w:val="white"/>
              </w:rPr>
              <w:t>Ознакомление с организацией бухгалтерского учета и структурой экономического субъекта.</w:t>
            </w:r>
          </w:p>
          <w:p w14:paraId="38020000">
            <w:pPr>
              <w:widowControl w:val="0"/>
              <w:numPr>
                <w:ilvl w:val="0"/>
                <w:numId w:val="8"/>
              </w:numPr>
              <w:tabs>
                <w:tab w:leader="none" w:pos="308" w:val="left"/>
              </w:tabs>
              <w:ind w:firstLine="0" w:left="0"/>
              <w:contextualSpacing w:val="1"/>
              <w:jc w:val="both"/>
              <w:rPr>
                <w:rFonts w:ascii="Times New Roman" w:hAnsi="Times New Roman"/>
                <w:sz w:val="24"/>
              </w:rPr>
            </w:pPr>
            <w:r>
              <w:rPr>
                <w:rFonts w:ascii="Times New Roman" w:hAnsi="Times New Roman"/>
                <w:sz w:val="24"/>
              </w:rPr>
              <w:t xml:space="preserve">Отражение в учете денежных средств, кассовых операций, денежных документов и переводов в пути. Заполнение первичных документов и учетных регистров по учету денежных средств. </w:t>
            </w:r>
          </w:p>
          <w:p w14:paraId="39020000">
            <w:pPr>
              <w:widowControl w:val="0"/>
              <w:numPr>
                <w:ilvl w:val="0"/>
                <w:numId w:val="8"/>
              </w:numPr>
              <w:tabs>
                <w:tab w:leader="none" w:pos="308" w:val="left"/>
              </w:tabs>
              <w:ind w:firstLine="0" w:left="0"/>
              <w:contextualSpacing w:val="1"/>
              <w:jc w:val="both"/>
              <w:rPr>
                <w:rFonts w:ascii="Times New Roman" w:hAnsi="Times New Roman"/>
                <w:sz w:val="24"/>
              </w:rPr>
            </w:pPr>
            <w:r>
              <w:rPr>
                <w:rFonts w:ascii="Times New Roman" w:hAnsi="Times New Roman"/>
                <w:sz w:val="24"/>
              </w:rPr>
              <w:t xml:space="preserve">Отражение в учете фактов хозяйственной жизни, связанных с расчетами. Составление авансового отчета, платежных поручений. Заполнение учетных регистров по учету расчетов с разными дебиторами и кредиторами. </w:t>
            </w:r>
          </w:p>
          <w:p w14:paraId="3A020000">
            <w:pPr>
              <w:widowControl w:val="0"/>
              <w:numPr>
                <w:ilvl w:val="0"/>
                <w:numId w:val="8"/>
              </w:numPr>
              <w:tabs>
                <w:tab w:leader="none" w:pos="308" w:val="left"/>
              </w:tabs>
              <w:ind w:firstLine="0" w:left="0"/>
              <w:contextualSpacing w:val="1"/>
              <w:jc w:val="both"/>
              <w:rPr>
                <w:rFonts w:ascii="Times New Roman" w:hAnsi="Times New Roman"/>
                <w:sz w:val="24"/>
              </w:rPr>
            </w:pPr>
            <w:r>
              <w:rPr>
                <w:rFonts w:ascii="Times New Roman" w:hAnsi="Times New Roman"/>
                <w:sz w:val="24"/>
              </w:rPr>
              <w:t>Отражение в учете фактов хозяйственной жизни по расчетному счету и специальным счетам в банке. Заполнение первичных документов и учетных регистров по учету денежных средств.</w:t>
            </w:r>
          </w:p>
          <w:p w14:paraId="3B020000">
            <w:pPr>
              <w:widowControl w:val="0"/>
              <w:numPr>
                <w:ilvl w:val="0"/>
                <w:numId w:val="8"/>
              </w:numPr>
              <w:tabs>
                <w:tab w:leader="none" w:pos="308" w:val="left"/>
              </w:tabs>
              <w:ind w:firstLine="0" w:left="0"/>
              <w:contextualSpacing w:val="1"/>
              <w:jc w:val="both"/>
              <w:rPr>
                <w:rFonts w:ascii="Times New Roman" w:hAnsi="Times New Roman"/>
                <w:sz w:val="24"/>
              </w:rPr>
            </w:pPr>
            <w:r>
              <w:rPr>
                <w:rFonts w:ascii="Times New Roman" w:hAnsi="Times New Roman"/>
                <w:sz w:val="24"/>
              </w:rPr>
              <w:t xml:space="preserve">Отражение в учете фактов хозяйственной жизни, связанных с основными средствами, применение способов оценки и начисления амортизации основных средств в условной организации. </w:t>
            </w:r>
          </w:p>
          <w:p w14:paraId="3C020000">
            <w:pPr>
              <w:widowControl w:val="0"/>
              <w:numPr>
                <w:ilvl w:val="0"/>
                <w:numId w:val="8"/>
              </w:numPr>
              <w:tabs>
                <w:tab w:leader="none" w:pos="308" w:val="left"/>
              </w:tabs>
              <w:ind w:firstLine="0" w:left="0"/>
              <w:contextualSpacing w:val="1"/>
              <w:jc w:val="both"/>
              <w:rPr>
                <w:rFonts w:ascii="Times New Roman" w:hAnsi="Times New Roman"/>
                <w:sz w:val="24"/>
              </w:rPr>
            </w:pPr>
            <w:r>
              <w:rPr>
                <w:rFonts w:ascii="Times New Roman" w:hAnsi="Times New Roman"/>
                <w:sz w:val="24"/>
              </w:rPr>
              <w:t>Отражение в учете поступления, начисления амортизации, выбытия и ремонта основных средств. Заполнение первичных документов и учетных регистров по учету основных средств.</w:t>
            </w:r>
          </w:p>
          <w:p w14:paraId="3D020000">
            <w:pPr>
              <w:widowControl w:val="0"/>
              <w:numPr>
                <w:ilvl w:val="0"/>
                <w:numId w:val="8"/>
              </w:numPr>
              <w:tabs>
                <w:tab w:leader="none" w:pos="308" w:val="left"/>
              </w:tabs>
              <w:ind w:firstLine="0" w:left="0"/>
              <w:contextualSpacing w:val="1"/>
              <w:jc w:val="both"/>
              <w:rPr>
                <w:rFonts w:ascii="Times New Roman" w:hAnsi="Times New Roman"/>
                <w:sz w:val="24"/>
              </w:rPr>
            </w:pPr>
            <w:r>
              <w:rPr>
                <w:rFonts w:ascii="Times New Roman" w:hAnsi="Times New Roman"/>
                <w:sz w:val="24"/>
              </w:rPr>
              <w:t>Отражение в учете фактов хозяйственной жизни, связанных с нематериальными активами. Учет поступления, выбытия, оценка и учет амортизации. Заполнение первичных документов и учетных регистров по учету нематериальных активов.</w:t>
            </w:r>
          </w:p>
          <w:p w14:paraId="3E020000">
            <w:pPr>
              <w:widowControl w:val="0"/>
              <w:numPr>
                <w:ilvl w:val="0"/>
                <w:numId w:val="8"/>
              </w:numPr>
              <w:tabs>
                <w:tab w:leader="none" w:pos="308" w:val="left"/>
              </w:tabs>
              <w:ind w:firstLine="0" w:left="0"/>
              <w:contextualSpacing w:val="1"/>
              <w:jc w:val="both"/>
              <w:rPr>
                <w:rFonts w:ascii="Times New Roman" w:hAnsi="Times New Roman"/>
                <w:sz w:val="24"/>
              </w:rPr>
            </w:pPr>
            <w:r>
              <w:rPr>
                <w:rFonts w:ascii="Times New Roman" w:hAnsi="Times New Roman"/>
                <w:color w:val="000000"/>
                <w:sz w:val="24"/>
                <w:highlight w:val="white"/>
              </w:rPr>
              <w:t>Отражение в</w:t>
            </w:r>
            <w:r>
              <w:rPr>
                <w:rFonts w:ascii="Times New Roman" w:hAnsi="Times New Roman"/>
                <w:sz w:val="24"/>
              </w:rPr>
              <w:t xml:space="preserve"> учете капитальных и финансовых вложений, осуществление оценки финансовых вложений. Заполнение первичных документов и учетных регистров по учету финансовых вложений.</w:t>
            </w:r>
          </w:p>
          <w:p w14:paraId="3F020000">
            <w:pPr>
              <w:widowControl w:val="0"/>
              <w:numPr>
                <w:ilvl w:val="0"/>
                <w:numId w:val="8"/>
              </w:numPr>
              <w:tabs>
                <w:tab w:leader="none" w:pos="308" w:val="left"/>
              </w:tabs>
              <w:ind w:firstLine="0" w:left="0"/>
              <w:contextualSpacing w:val="1"/>
              <w:jc w:val="both"/>
              <w:rPr>
                <w:rFonts w:ascii="Times New Roman" w:hAnsi="Times New Roman"/>
                <w:sz w:val="24"/>
              </w:rPr>
            </w:pPr>
            <w:r>
              <w:rPr>
                <w:rFonts w:ascii="Times New Roman" w:hAnsi="Times New Roman"/>
                <w:color w:val="000000"/>
                <w:sz w:val="24"/>
                <w:highlight w:val="white"/>
              </w:rPr>
              <w:t>Отражение в</w:t>
            </w:r>
            <w:r>
              <w:rPr>
                <w:rFonts w:ascii="Times New Roman" w:hAnsi="Times New Roman"/>
                <w:sz w:val="24"/>
              </w:rPr>
              <w:t xml:space="preserve"> учете запасов.</w:t>
            </w:r>
          </w:p>
          <w:p w14:paraId="40020000">
            <w:pPr>
              <w:widowControl w:val="0"/>
              <w:numPr>
                <w:ilvl w:val="0"/>
                <w:numId w:val="8"/>
              </w:numPr>
              <w:tabs>
                <w:tab w:leader="none" w:pos="308" w:val="left"/>
              </w:tabs>
              <w:ind w:firstLine="0" w:left="0"/>
              <w:contextualSpacing w:val="1"/>
              <w:jc w:val="both"/>
              <w:rPr>
                <w:rFonts w:ascii="Times New Roman" w:hAnsi="Times New Roman"/>
                <w:sz w:val="24"/>
              </w:rPr>
            </w:pPr>
            <w:r>
              <w:rPr>
                <w:rFonts w:ascii="Times New Roman" w:hAnsi="Times New Roman"/>
                <w:sz w:val="24"/>
              </w:rPr>
              <w:t>Отражать порядок учета запасов на складе и в бухгалтерии, вести синтетический и аналитический учет запасов. Заполнение первичных документов и учетных регистров по учету материалов.</w:t>
            </w:r>
          </w:p>
          <w:p w14:paraId="41020000">
            <w:pPr>
              <w:widowControl w:val="0"/>
              <w:numPr>
                <w:ilvl w:val="0"/>
                <w:numId w:val="8"/>
              </w:numPr>
              <w:tabs>
                <w:tab w:leader="none" w:pos="308" w:val="left"/>
              </w:tabs>
              <w:ind w:firstLine="0" w:left="0"/>
              <w:contextualSpacing w:val="1"/>
              <w:jc w:val="both"/>
              <w:rPr>
                <w:rFonts w:ascii="Times New Roman" w:hAnsi="Times New Roman"/>
                <w:sz w:val="24"/>
              </w:rPr>
            </w:pPr>
            <w:r>
              <w:rPr>
                <w:rFonts w:ascii="Times New Roman" w:hAnsi="Times New Roman"/>
                <w:color w:val="000000"/>
                <w:sz w:val="24"/>
                <w:highlight w:val="white"/>
              </w:rPr>
              <w:t>Отражение в</w:t>
            </w:r>
            <w:r>
              <w:rPr>
                <w:rFonts w:ascii="Times New Roman" w:hAnsi="Times New Roman"/>
                <w:sz w:val="24"/>
              </w:rPr>
              <w:t xml:space="preserve"> учете затрат на производство и калькулирование себестоимости продукции (работ, услуг).</w:t>
            </w:r>
          </w:p>
          <w:p w14:paraId="42020000">
            <w:pPr>
              <w:widowControl w:val="0"/>
              <w:numPr>
                <w:ilvl w:val="0"/>
                <w:numId w:val="8"/>
              </w:numPr>
              <w:tabs>
                <w:tab w:leader="none" w:pos="308" w:val="left"/>
              </w:tabs>
              <w:ind w:firstLine="0" w:left="0"/>
              <w:contextualSpacing w:val="1"/>
              <w:jc w:val="both"/>
              <w:rPr>
                <w:rFonts w:ascii="Times New Roman" w:hAnsi="Times New Roman"/>
                <w:sz w:val="24"/>
              </w:rPr>
            </w:pPr>
            <w:r>
              <w:rPr>
                <w:rFonts w:ascii="Times New Roman" w:hAnsi="Times New Roman"/>
                <w:color w:val="000000"/>
                <w:sz w:val="24"/>
                <w:highlight w:val="white"/>
              </w:rPr>
              <w:t>Отражение в</w:t>
            </w:r>
            <w:r>
              <w:rPr>
                <w:rFonts w:ascii="Times New Roman" w:hAnsi="Times New Roman"/>
                <w:sz w:val="24"/>
              </w:rPr>
              <w:t xml:space="preserve"> учете затрат, включаемых в себестоимость продукции в данной организации, учет расходов по элементам и калькуляционным статьям, непроизводственным расходам, производственным потерям, учет затрат на производство и калькулирование себестоимости вспомогательных производств. </w:t>
            </w:r>
          </w:p>
          <w:p w14:paraId="43020000">
            <w:pPr>
              <w:widowControl w:val="0"/>
              <w:numPr>
                <w:ilvl w:val="0"/>
                <w:numId w:val="8"/>
              </w:numPr>
              <w:tabs>
                <w:tab w:leader="none" w:pos="308" w:val="left"/>
                <w:tab w:leader="none" w:pos="426" w:val="left"/>
              </w:tabs>
              <w:ind w:firstLine="0" w:left="0"/>
              <w:contextualSpacing w:val="1"/>
              <w:jc w:val="both"/>
              <w:rPr>
                <w:rFonts w:ascii="Times New Roman" w:hAnsi="Times New Roman"/>
                <w:sz w:val="24"/>
              </w:rPr>
            </w:pPr>
            <w:r>
              <w:rPr>
                <w:rFonts w:ascii="Times New Roman" w:hAnsi="Times New Roman"/>
                <w:color w:val="000000"/>
                <w:sz w:val="24"/>
                <w:highlight w:val="white"/>
              </w:rPr>
              <w:t>Отражение в</w:t>
            </w:r>
            <w:r>
              <w:rPr>
                <w:rFonts w:ascii="Times New Roman" w:hAnsi="Times New Roman"/>
                <w:sz w:val="24"/>
              </w:rPr>
              <w:t xml:space="preserve"> учете готовой продукции, определение выручки от продажи продукции. Отражать порядок учета поступления и отгрузки (продажи) готовой продукции, учет расходов на продажу. Осуществлять расчет фактической себестоимости выпущенной продукции и определять финансовый результат от продажи продукции. Заполнение первичных документов и учетных регистров по учету готовой продукции и ее продажи.</w:t>
            </w:r>
          </w:p>
          <w:p w14:paraId="44020000">
            <w:pPr>
              <w:widowControl w:val="0"/>
              <w:numPr>
                <w:ilvl w:val="0"/>
                <w:numId w:val="8"/>
              </w:numPr>
              <w:tabs>
                <w:tab w:leader="none" w:pos="308" w:val="left"/>
                <w:tab w:leader="none" w:pos="426" w:val="left"/>
              </w:tabs>
              <w:ind w:firstLine="0" w:left="0"/>
              <w:contextualSpacing w:val="1"/>
              <w:jc w:val="both"/>
              <w:rPr>
                <w:rFonts w:ascii="Times New Roman" w:hAnsi="Times New Roman"/>
                <w:sz w:val="24"/>
              </w:rPr>
            </w:pPr>
            <w:r>
              <w:rPr>
                <w:rFonts w:ascii="Times New Roman" w:hAnsi="Times New Roman"/>
                <w:color w:val="000000"/>
                <w:sz w:val="24"/>
                <w:highlight w:val="white"/>
              </w:rPr>
              <w:t>Разработка рабочего плана счетов экономического субъекта и сравнение его с типовым планом счетов бухгалтерского учета финансово-хозяйственной деятельности.</w:t>
            </w:r>
          </w:p>
          <w:p w14:paraId="45020000">
            <w:pPr>
              <w:numPr>
                <w:ilvl w:val="0"/>
                <w:numId w:val="8"/>
              </w:numPr>
              <w:tabs>
                <w:tab w:leader="none" w:pos="426" w:val="left"/>
              </w:tabs>
              <w:ind w:firstLine="0" w:left="0"/>
              <w:jc w:val="both"/>
              <w:rPr>
                <w:rFonts w:ascii="Times New Roman" w:hAnsi="Times New Roman"/>
                <w:sz w:val="24"/>
              </w:rPr>
            </w:pPr>
            <w:r>
              <w:rPr>
                <w:rFonts w:ascii="Times New Roman" w:hAnsi="Times New Roman"/>
                <w:color w:val="000000"/>
                <w:sz w:val="24"/>
                <w:highlight w:val="white"/>
              </w:rPr>
              <w:t>Ознакомление и изучение формирования учетной политики организации.</w:t>
            </w:r>
          </w:p>
          <w:p w14:paraId="46020000">
            <w:pPr>
              <w:numPr>
                <w:ilvl w:val="0"/>
                <w:numId w:val="8"/>
              </w:numPr>
              <w:tabs>
                <w:tab w:leader="none" w:pos="426" w:val="left"/>
              </w:tabs>
              <w:ind w:firstLine="0" w:left="0"/>
              <w:jc w:val="both"/>
              <w:rPr>
                <w:rFonts w:ascii="Times New Roman" w:hAnsi="Times New Roman"/>
                <w:sz w:val="24"/>
              </w:rPr>
            </w:pPr>
            <w:r>
              <w:rPr>
                <w:rFonts w:ascii="Times New Roman" w:hAnsi="Times New Roman"/>
                <w:color w:val="000000"/>
                <w:sz w:val="24"/>
                <w:highlight w:val="white"/>
              </w:rPr>
              <w:t>Ознакомление с организацией бухгалтерского учета и структурой экономического субъекта.</w:t>
            </w:r>
          </w:p>
          <w:p w14:paraId="47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Ознакомление с нормативными документами по учету личного состава, по учету использования рабочего времени.</w:t>
            </w:r>
          </w:p>
          <w:p w14:paraId="48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Заполнение е документов по учету личного состава, по учету использования рабочего времени.</w:t>
            </w:r>
          </w:p>
          <w:p w14:paraId="49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Заполнение первичных документов по учету численности работников, учету отработанного времени и выработки.</w:t>
            </w:r>
          </w:p>
          <w:p w14:paraId="4A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 xml:space="preserve">Изучение порядка начисления заработной платы и ее учета при различных видах, формах и системах оплаты труда. </w:t>
            </w:r>
          </w:p>
          <w:p w14:paraId="4B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Начисление заработной платы работникам в зависимости от вида заработной платы и формы оплаты труда, отражение в учете соответствующих операций.</w:t>
            </w:r>
          </w:p>
          <w:p w14:paraId="4C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Заполнение первичных документов по учету оплаты труда в выходные и праздничные дни, в ночное время, оплаты сверхурочного времени.</w:t>
            </w:r>
          </w:p>
          <w:p w14:paraId="4D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Заполнение первичных документов по учету оплаты труда при сменном графике работы.</w:t>
            </w:r>
          </w:p>
          <w:p w14:paraId="4E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Документальное оформление начисленной заработной платы.</w:t>
            </w:r>
          </w:p>
          <w:p w14:paraId="4F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Начисление и выполнение расчета заработной платы за неотработанное время.</w:t>
            </w:r>
          </w:p>
          <w:p w14:paraId="50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 xml:space="preserve">Документальное оформление заработной платы за неотработанное время. </w:t>
            </w:r>
          </w:p>
          <w:p w14:paraId="51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Начисление пособий по временной нетрудоспособности и документальное оформление пособий по временной нетрудоспособности.</w:t>
            </w:r>
          </w:p>
          <w:p w14:paraId="52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Документальное оформление</w:t>
            </w:r>
            <w:r>
              <w:rPr>
                <w:rFonts w:ascii="Times New Roman" w:hAnsi="Times New Roman"/>
                <w:sz w:val="24"/>
              </w:rPr>
              <w:t xml:space="preserve"> пособий в связи с материнством.</w:t>
            </w:r>
          </w:p>
          <w:p w14:paraId="53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Расчет пособий по временной нетрудоспособности от несчастных случаев на производстве и профессиональных заболеваний.</w:t>
            </w:r>
          </w:p>
          <w:p w14:paraId="54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Документальное оформление пособий по временной нетрудоспособности от несчастных случаев на производстве и профессиональных заболеваний.</w:t>
            </w:r>
          </w:p>
          <w:p w14:paraId="55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Выполнение расчета премий, доплат и надбавок.</w:t>
            </w:r>
          </w:p>
          <w:p w14:paraId="56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 xml:space="preserve">Начисление </w:t>
            </w:r>
            <w:r>
              <w:rPr>
                <w:rFonts w:ascii="Times New Roman" w:hAnsi="Times New Roman"/>
                <w:sz w:val="24"/>
              </w:rPr>
              <w:t>премий, доплат и надбавок и документальное оформление премий, доплат и надбавок.</w:t>
            </w:r>
          </w:p>
          <w:p w14:paraId="57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Определение суммы удержаний из заработной платы, отражение в учете соответствующих операций.</w:t>
            </w:r>
          </w:p>
          <w:p w14:paraId="58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Начисление и документальное оформление доходов, не облагаемых НДФЛ.</w:t>
            </w:r>
          </w:p>
          <w:p w14:paraId="59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Документальное оформление</w:t>
            </w:r>
            <w:r>
              <w:rPr>
                <w:rFonts w:ascii="Times New Roman" w:hAnsi="Times New Roman"/>
                <w:sz w:val="24"/>
              </w:rPr>
              <w:t xml:space="preserve"> удержаний из заработной платы.</w:t>
            </w:r>
          </w:p>
          <w:p w14:paraId="5A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Составление бухгалтерских проводок на счетах синтетического учета труда по заработной плате и расчетам с персоналом по оплате труда.</w:t>
            </w:r>
          </w:p>
          <w:p w14:paraId="5B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Использование в работе нормативных документов по учету кредитов банков и займов.</w:t>
            </w:r>
          </w:p>
          <w:p w14:paraId="5C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Отражение в учете получения, использования и возврата кредита (займа), привлеченного экономическим субъектом под соответствующие нужды.</w:t>
            </w:r>
          </w:p>
          <w:p w14:paraId="5D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Документальное оформление начисления процентов по займам и кредитам.</w:t>
            </w:r>
          </w:p>
          <w:p w14:paraId="5E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Документальное оформление получения и возврата кредитов и займов.</w:t>
            </w:r>
          </w:p>
          <w:p w14:paraId="5F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Использование в работе нормативных документов по формированию и изменению уставного капитала.</w:t>
            </w:r>
          </w:p>
          <w:p w14:paraId="60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Использование в работе нормативных документов по формированию и изменению резервного капитала.</w:t>
            </w:r>
          </w:p>
          <w:p w14:paraId="61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Использование в работе нормативных документов по формированию и изменению добавочного капитала.</w:t>
            </w:r>
          </w:p>
          <w:p w14:paraId="62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Отражение в учете процесса формирования и изменения собственного капитала экономического субъекта.</w:t>
            </w:r>
          </w:p>
          <w:p w14:paraId="63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 xml:space="preserve">Использование в работе нормативных документов по формированию финансовых результатов деятельности экономического субъекта. </w:t>
            </w:r>
          </w:p>
          <w:p w14:paraId="64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Отражение в учете финансовых результатов деятельности экономического субъекта в зависимости от вида деятельности.</w:t>
            </w:r>
          </w:p>
          <w:p w14:paraId="65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Отражение в учете использования прибыли экономического субъекта.</w:t>
            </w:r>
          </w:p>
          <w:p w14:paraId="66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Использование в работе нормативных документов по учету расчетов с учредителями.</w:t>
            </w:r>
          </w:p>
          <w:p w14:paraId="67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Использование в работе и подготовка нормативных документов по учету собственных акций.</w:t>
            </w:r>
          </w:p>
          <w:p w14:paraId="68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Составление бухгалтерских проводок по начисления и выплаты дивидендов.</w:t>
            </w:r>
          </w:p>
          <w:p w14:paraId="69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 xml:space="preserve">Использование в работе нормативных документов по формированию финансовых результатов от обычных видов деятельности экономического субъекта. </w:t>
            </w:r>
          </w:p>
          <w:p w14:paraId="6A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Отражение в учете финансовых результатов от обычных видов деятельности экономического субъекта.</w:t>
            </w:r>
          </w:p>
          <w:p w14:paraId="6B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 xml:space="preserve">Использование в работе нормативных документов по формированию финансовых результатов по прочим видам деятельности экономического субъекта. </w:t>
            </w:r>
          </w:p>
          <w:p w14:paraId="6C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Отражение в учете финансовых результатов по прочим видам деятельности экономического субъекта.</w:t>
            </w:r>
          </w:p>
          <w:p w14:paraId="6D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Использование в работе нормативных документов, регламентирующих порядок целевого финансирования экономических субъектов.</w:t>
            </w:r>
          </w:p>
          <w:p w14:paraId="6E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Отражение в учете экономического субъекта целевого финансирования.</w:t>
            </w:r>
          </w:p>
          <w:p w14:paraId="6F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Отражение в учете экономического субъекта доходов будущих периодов.</w:t>
            </w:r>
          </w:p>
          <w:p w14:paraId="70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Отражение в учете экономического субъекта образования и использования резерва по сомнительным долгам.</w:t>
            </w:r>
          </w:p>
          <w:p w14:paraId="71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Ознакомиться с режимом налогообложения организации.</w:t>
            </w:r>
          </w:p>
          <w:p w14:paraId="72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Проанализировать состав и виды уплачиваемых организацией налогов и представляемой налоговой отчетности.</w:t>
            </w:r>
          </w:p>
          <w:p w14:paraId="73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Ознакомиться с документами налоговой отчетности, порядком и форматом их представления в налоговые органы.</w:t>
            </w:r>
          </w:p>
          <w:p w14:paraId="74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Ознакомиться с порядком и формой осуществления платежей в бюджеты бюджетной системы РФ по налогам, сборам, страховым взносам в бюджеты бюджетной системы Российской Федерации в организации.</w:t>
            </w:r>
          </w:p>
          <w:p w14:paraId="75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Ознакомиться с нормативными документами, отражающими региональные и местные особенности исчисления и уплаты налогов организации.</w:t>
            </w:r>
          </w:p>
          <w:p w14:paraId="76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 xml:space="preserve">Ознакомиться с порядком ведения в организации учета расчетов с бюджетами бюджетной системы по налогам, сборам и страховым взносам. </w:t>
            </w:r>
          </w:p>
          <w:p w14:paraId="77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Выполнять поручения руководителя практики от организации.</w:t>
            </w:r>
          </w:p>
          <w:p w14:paraId="78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Составить (дублировать) расчеты сумм налогов, сборов, страховых взносов, плательщиками которых является организация.</w:t>
            </w:r>
          </w:p>
          <w:p w14:paraId="79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 xml:space="preserve">Дублировать аналитический учет по счету 68 "Расчеты по налогам и сборам" (по субсчетам) в соответствии с данными организации. </w:t>
            </w:r>
          </w:p>
          <w:p w14:paraId="7A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Составить (дублировать) журнал регистрации фактов хозяйственной жизни по формированию бухгалтерских проводок по начислению и перечислению сумм налогов и сборов, уплачиваемых организацией.</w:t>
            </w:r>
          </w:p>
          <w:p w14:paraId="7B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 xml:space="preserve">Дублировать аналитический учет по счету 69 «Расчеты по социальному страхованию и обеспечению». </w:t>
            </w:r>
          </w:p>
          <w:p w14:paraId="7C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Дублировать формирование бухгалтерских проводок по начислению и перечислению сумм страховых взносов, уплачиваемых организацией.</w:t>
            </w:r>
          </w:p>
          <w:p w14:paraId="7D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Ознакомиться с порядком заполнения и представления в банк платежных документов на перечисление налогов, сборов, страховых взносов в бюджеты бюджетной системы Российской Федерации.</w:t>
            </w:r>
          </w:p>
          <w:p w14:paraId="7E020000">
            <w:pPr>
              <w:numPr>
                <w:ilvl w:val="0"/>
                <w:numId w:val="8"/>
              </w:numPr>
              <w:tabs>
                <w:tab w:leader="none" w:pos="426" w:val="left"/>
              </w:tabs>
              <w:ind w:firstLine="0" w:left="0"/>
              <w:jc w:val="both"/>
              <w:rPr>
                <w:rFonts w:ascii="Times New Roman" w:hAnsi="Times New Roman"/>
                <w:sz w:val="24"/>
              </w:rPr>
            </w:pPr>
            <w:r>
              <w:rPr>
                <w:rFonts w:ascii="Times New Roman" w:hAnsi="Times New Roman"/>
                <w:sz w:val="24"/>
              </w:rPr>
              <w:t>Дублировать оформление платежных поручений на перечисление налогов, сборов, страховых взносов.</w:t>
            </w:r>
          </w:p>
          <w:p w14:paraId="7F020000">
            <w:pPr>
              <w:widowControl w:val="0"/>
              <w:tabs>
                <w:tab w:leader="none" w:pos="426" w:val="left"/>
              </w:tabs>
              <w:ind/>
              <w:jc w:val="both"/>
              <w:rPr>
                <w:rFonts w:ascii="Times New Roman" w:hAnsi="Times New Roman"/>
                <w:b w:val="1"/>
                <w:sz w:val="24"/>
              </w:rPr>
            </w:pPr>
            <w:r>
              <w:rPr>
                <w:rFonts w:ascii="Times New Roman" w:hAnsi="Times New Roman"/>
                <w:color w:val="000000"/>
                <w:sz w:val="24"/>
              </w:rPr>
              <w:t>Оформить и защитить Отчет по практике.</w:t>
            </w:r>
          </w:p>
        </w:tc>
      </w:tr>
      <w:tr>
        <w:tc>
          <w:tcPr>
            <w:tcW w:type="dxa" w:w="9634"/>
            <w:gridSpan w:val="2"/>
          </w:tcPr>
          <w:p w14:paraId="80020000">
            <w:pPr>
              <w:ind/>
              <w:jc w:val="both"/>
              <w:rPr>
                <w:rFonts w:ascii="Times New Roman" w:hAnsi="Times New Roman"/>
                <w:b w:val="1"/>
                <w:sz w:val="24"/>
              </w:rPr>
            </w:pPr>
            <w:r>
              <w:rPr>
                <w:rFonts w:ascii="Times New Roman" w:hAnsi="Times New Roman"/>
                <w:b w:val="1"/>
                <w:color w:val="000000"/>
                <w:sz w:val="24"/>
              </w:rPr>
              <w:t>Рекомендуемая форма промежуточной аттестации – зачет/экзамен</w:t>
            </w:r>
          </w:p>
        </w:tc>
      </w:tr>
      <w:tr>
        <w:tc>
          <w:tcPr>
            <w:tcW w:type="dxa" w:w="9634"/>
            <w:gridSpan w:val="2"/>
          </w:tcPr>
          <w:p w14:paraId="81020000">
            <w:pPr>
              <w:ind/>
              <w:jc w:val="both"/>
              <w:rPr>
                <w:rFonts w:ascii="Times New Roman" w:hAnsi="Times New Roman"/>
                <w:b w:val="1"/>
                <w:sz w:val="24"/>
              </w:rPr>
            </w:pPr>
            <w:r>
              <w:rPr>
                <w:rFonts w:ascii="Times New Roman" w:hAnsi="Times New Roman"/>
                <w:b w:val="1"/>
                <w:sz w:val="24"/>
              </w:rPr>
              <w:t>Всего:</w:t>
            </w:r>
            <w:r>
              <w:rPr>
                <w:rFonts w:ascii="Times New Roman" w:hAnsi="Times New Roman"/>
                <w:b w:val="1"/>
                <w:sz w:val="24"/>
              </w:rPr>
              <w:t xml:space="preserve"> </w:t>
            </w:r>
            <w:r>
              <w:rPr>
                <w:rFonts w:ascii="Times New Roman" w:hAnsi="Times New Roman"/>
                <w:b w:val="1"/>
                <w:sz w:val="24"/>
              </w:rPr>
              <w:t>440</w:t>
            </w:r>
            <w:r>
              <w:rPr>
                <w:rFonts w:ascii="Times New Roman" w:hAnsi="Times New Roman"/>
                <w:b w:val="1"/>
                <w:sz w:val="24"/>
              </w:rPr>
              <w:t xml:space="preserve"> ч.</w:t>
            </w:r>
          </w:p>
        </w:tc>
      </w:tr>
    </w:tbl>
    <w:p w14:paraId="82020000">
      <w:pPr>
        <w:pStyle w:val="Style_7"/>
        <w:ind/>
        <w:jc w:val="both"/>
        <w:rPr>
          <w:rFonts w:ascii="Times New Roman" w:hAnsi="Times New Roman"/>
        </w:rPr>
      </w:pPr>
    </w:p>
    <w:p w14:paraId="83020000">
      <w:bookmarkStart w:id="16" w:name="__RefHeading___8"/>
      <w:bookmarkEnd w:id="16"/>
      <w:bookmarkStart w:id="17" w:name="__RefHeading___31"/>
      <w:bookmarkEnd w:id="17"/>
      <w:pPr>
        <w:pStyle w:val="Style_7"/>
        <w:ind/>
        <w:jc w:val="both"/>
        <w:rPr>
          <w:rFonts w:ascii="Times New Roman" w:hAnsi="Times New Roman"/>
          <w:i w:val="1"/>
        </w:rPr>
      </w:pPr>
      <w:bookmarkStart w:id="18" w:name="_Hlk156819611"/>
      <w:r>
        <w:rPr>
          <w:rFonts w:ascii="Times New Roman" w:hAnsi="Times New Roman"/>
        </w:rPr>
        <w:t>2.4</w:t>
      </w:r>
      <w:r>
        <w:rPr>
          <w:rFonts w:ascii="Times New Roman" w:hAnsi="Times New Roman"/>
        </w:rPr>
        <w:t>.</w:t>
      </w:r>
      <w:r>
        <w:rPr>
          <w:rFonts w:ascii="Times New Roman" w:hAnsi="Times New Roman"/>
        </w:rPr>
        <w:t xml:space="preserve"> Курсовой </w:t>
      </w:r>
      <w:r>
        <w:rPr>
          <w:rFonts w:ascii="Times New Roman" w:hAnsi="Times New Roman"/>
        </w:rPr>
        <w:t xml:space="preserve">работа </w:t>
      </w:r>
      <w:r>
        <w:rPr>
          <w:rFonts w:ascii="Times New Roman" w:hAnsi="Times New Roman"/>
        </w:rPr>
        <w:t>(</w:t>
      </w:r>
      <w:r>
        <w:rPr>
          <w:rFonts w:ascii="Times New Roman" w:hAnsi="Times New Roman"/>
        </w:rPr>
        <w:t>проект</w:t>
      </w:r>
      <w:r>
        <w:rPr>
          <w:rFonts w:ascii="Times New Roman" w:hAnsi="Times New Roman"/>
        </w:rPr>
        <w:t xml:space="preserve">) </w:t>
      </w:r>
    </w:p>
    <w:p w14:paraId="84020000">
      <w:pPr>
        <w:ind w:firstLine="708" w:left="0"/>
        <w:jc w:val="both"/>
        <w:rPr>
          <w:rFonts w:ascii="Times New Roman" w:hAnsi="Times New Roman"/>
          <w:sz w:val="24"/>
        </w:rPr>
      </w:pPr>
      <w:r>
        <w:rPr>
          <w:rFonts w:ascii="Times New Roman" w:hAnsi="Times New Roman"/>
          <w:sz w:val="24"/>
        </w:rPr>
        <w:t xml:space="preserve">Курсовой проект (работа) по модулю </w:t>
      </w:r>
      <w:r>
        <w:rPr>
          <w:rFonts w:ascii="Times New Roman" w:hAnsi="Times New Roman"/>
          <w:sz w:val="24"/>
        </w:rPr>
        <w:t>является</w:t>
      </w:r>
      <w:r>
        <w:rPr>
          <w:rFonts w:ascii="Times New Roman" w:hAnsi="Times New Roman"/>
          <w:sz w:val="24"/>
        </w:rPr>
        <w:t xml:space="preserve"> обязательным к выполнению. </w:t>
      </w:r>
      <w:r>
        <w:rPr>
          <w:rFonts w:ascii="Times New Roman" w:hAnsi="Times New Roman"/>
          <w:sz w:val="24"/>
        </w:rPr>
        <w:t xml:space="preserve"> </w:t>
      </w:r>
    </w:p>
    <w:p w14:paraId="85020000">
      <w:pPr>
        <w:ind w:firstLine="708" w:left="0"/>
        <w:jc w:val="both"/>
        <w:rPr>
          <w:rFonts w:ascii="Times New Roman" w:hAnsi="Times New Roman"/>
          <w:sz w:val="24"/>
        </w:rPr>
      </w:pPr>
      <w:r>
        <w:rPr>
          <w:rFonts w:ascii="Times New Roman" w:hAnsi="Times New Roman"/>
          <w:sz w:val="24"/>
        </w:rPr>
        <w:t>Примерная тематика курсовых проектов (работ)</w:t>
      </w:r>
    </w:p>
    <w:p w14:paraId="86020000">
      <w:pPr>
        <w:numPr>
          <w:ilvl w:val="0"/>
          <w:numId w:val="9"/>
        </w:numPr>
        <w:tabs>
          <w:tab w:leader="none" w:pos="567" w:val="left"/>
        </w:tabs>
        <w:ind w:firstLine="142" w:left="0"/>
        <w:jc w:val="both"/>
        <w:rPr>
          <w:rFonts w:ascii="Times New Roman" w:hAnsi="Times New Roman"/>
          <w:sz w:val="24"/>
        </w:rPr>
      </w:pPr>
      <w:r>
        <w:rPr>
          <w:rFonts w:ascii="Times New Roman" w:hAnsi="Times New Roman"/>
          <w:sz w:val="24"/>
        </w:rPr>
        <w:t>Концепция развития финансового учета в Российской Федерации.</w:t>
      </w:r>
    </w:p>
    <w:p w14:paraId="87020000">
      <w:pPr>
        <w:numPr>
          <w:ilvl w:val="0"/>
          <w:numId w:val="9"/>
        </w:numPr>
        <w:tabs>
          <w:tab w:leader="none" w:pos="567" w:val="left"/>
        </w:tabs>
        <w:ind w:firstLine="142" w:left="0"/>
        <w:jc w:val="both"/>
        <w:rPr>
          <w:rFonts w:ascii="Times New Roman" w:hAnsi="Times New Roman"/>
          <w:sz w:val="24"/>
        </w:rPr>
      </w:pPr>
      <w:r>
        <w:rPr>
          <w:rFonts w:ascii="Times New Roman" w:hAnsi="Times New Roman"/>
          <w:sz w:val="24"/>
        </w:rPr>
        <w:t>Основы организации</w:t>
      </w:r>
      <w:r>
        <w:rPr>
          <w:rFonts w:ascii="Times New Roman" w:hAnsi="Times New Roman"/>
          <w:sz w:val="24"/>
        </w:rPr>
        <w:t xml:space="preserve"> бухгалтерского учета  на предприятии</w:t>
      </w:r>
    </w:p>
    <w:p w14:paraId="88020000">
      <w:pPr>
        <w:numPr>
          <w:ilvl w:val="0"/>
          <w:numId w:val="9"/>
        </w:numPr>
        <w:tabs>
          <w:tab w:leader="none" w:pos="567" w:val="left"/>
          <w:tab w:leader="none" w:pos="1134" w:val="left"/>
        </w:tabs>
        <w:ind w:firstLine="142" w:left="0"/>
        <w:jc w:val="both"/>
        <w:rPr>
          <w:rFonts w:ascii="Times New Roman" w:hAnsi="Times New Roman"/>
          <w:sz w:val="24"/>
        </w:rPr>
      </w:pPr>
      <w:r>
        <w:rPr>
          <w:rFonts w:ascii="Times New Roman" w:hAnsi="Times New Roman"/>
          <w:sz w:val="24"/>
        </w:rPr>
        <w:t>Нормативное регулирование бухгалтерского учета в Российской Федерации.</w:t>
      </w:r>
    </w:p>
    <w:p w14:paraId="89020000">
      <w:pPr>
        <w:numPr>
          <w:ilvl w:val="0"/>
          <w:numId w:val="9"/>
        </w:numPr>
        <w:tabs>
          <w:tab w:leader="none" w:pos="567" w:val="left"/>
          <w:tab w:leader="none" w:pos="1134" w:val="left"/>
        </w:tabs>
        <w:ind w:firstLine="142" w:left="0"/>
        <w:jc w:val="both"/>
        <w:rPr>
          <w:rFonts w:ascii="Times New Roman" w:hAnsi="Times New Roman"/>
          <w:sz w:val="24"/>
        </w:rPr>
      </w:pPr>
      <w:r>
        <w:rPr>
          <w:rFonts w:ascii="Times New Roman" w:hAnsi="Times New Roman"/>
          <w:sz w:val="24"/>
        </w:rPr>
        <w:t>Учетная политика организации, ее основные принципы.</w:t>
      </w:r>
    </w:p>
    <w:p w14:paraId="8A020000">
      <w:pPr>
        <w:numPr>
          <w:ilvl w:val="0"/>
          <w:numId w:val="9"/>
        </w:numPr>
        <w:tabs>
          <w:tab w:leader="none" w:pos="567" w:val="left"/>
          <w:tab w:leader="none" w:pos="1134" w:val="left"/>
        </w:tabs>
        <w:ind w:firstLine="142" w:left="0"/>
        <w:jc w:val="both"/>
        <w:rPr>
          <w:rFonts w:ascii="Times New Roman" w:hAnsi="Times New Roman"/>
          <w:sz w:val="24"/>
        </w:rPr>
      </w:pPr>
      <w:r>
        <w:rPr>
          <w:rFonts w:ascii="Times New Roman" w:hAnsi="Times New Roman"/>
          <w:sz w:val="24"/>
        </w:rPr>
        <w:t>Разработка учетной политики организации и оценка ее эффективности.</w:t>
      </w:r>
    </w:p>
    <w:p w14:paraId="8B020000">
      <w:pPr>
        <w:numPr>
          <w:ilvl w:val="0"/>
          <w:numId w:val="9"/>
        </w:numPr>
        <w:tabs>
          <w:tab w:leader="none" w:pos="567" w:val="left"/>
          <w:tab w:leader="none" w:pos="1134" w:val="left"/>
        </w:tabs>
        <w:ind w:firstLine="142" w:left="0"/>
        <w:jc w:val="both"/>
        <w:rPr>
          <w:rFonts w:ascii="Times New Roman" w:hAnsi="Times New Roman"/>
          <w:sz w:val="24"/>
        </w:rPr>
      </w:pPr>
      <w:r>
        <w:rPr>
          <w:rFonts w:ascii="Times New Roman" w:hAnsi="Times New Roman"/>
          <w:sz w:val="24"/>
        </w:rPr>
        <w:t>Современный подход к формированию, и оформлению учетной политики организации.</w:t>
      </w:r>
    </w:p>
    <w:p w14:paraId="8C020000">
      <w:pPr>
        <w:numPr>
          <w:ilvl w:val="0"/>
          <w:numId w:val="9"/>
        </w:numPr>
        <w:tabs>
          <w:tab w:leader="none" w:pos="567"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в компьютерной среде: современное состояние и перспективы развития.</w:t>
      </w:r>
    </w:p>
    <w:p w14:paraId="8D020000">
      <w:pPr>
        <w:numPr>
          <w:ilvl w:val="0"/>
          <w:numId w:val="9"/>
        </w:numPr>
        <w:tabs>
          <w:tab w:leader="none" w:pos="567" w:val="left"/>
          <w:tab w:leader="none" w:pos="1134" w:val="left"/>
        </w:tabs>
        <w:ind w:firstLine="142" w:left="0"/>
        <w:jc w:val="both"/>
        <w:rPr>
          <w:rFonts w:ascii="Times New Roman" w:hAnsi="Times New Roman"/>
          <w:spacing w:val="-4"/>
          <w:sz w:val="24"/>
        </w:rPr>
      </w:pPr>
      <w:r>
        <w:rPr>
          <w:rFonts w:ascii="Times New Roman" w:hAnsi="Times New Roman"/>
          <w:sz w:val="24"/>
          <w:highlight w:val="white"/>
        </w:rPr>
        <w:t>Бухгалтерский учет хозяйственной деятельности субъектов малого предпринимательства. </w:t>
      </w:r>
    </w:p>
    <w:p w14:paraId="8E020000">
      <w:pPr>
        <w:numPr>
          <w:ilvl w:val="0"/>
          <w:numId w:val="9"/>
        </w:numPr>
        <w:tabs>
          <w:tab w:leader="none" w:pos="567" w:val="left"/>
          <w:tab w:leader="none" w:pos="1134" w:val="left"/>
        </w:tabs>
        <w:ind w:firstLine="142" w:left="0"/>
        <w:jc w:val="both"/>
        <w:rPr>
          <w:rFonts w:ascii="Times New Roman" w:hAnsi="Times New Roman"/>
          <w:spacing w:val="-4"/>
          <w:sz w:val="24"/>
        </w:rPr>
      </w:pPr>
      <w:r>
        <w:rPr>
          <w:rFonts w:ascii="Times New Roman" w:hAnsi="Times New Roman"/>
          <w:spacing w:val="-4"/>
          <w:sz w:val="24"/>
        </w:rPr>
        <w:t>Основные правила ведения бухгалтерского учета в хозяйствующих субъектах.</w:t>
      </w:r>
    </w:p>
    <w:p w14:paraId="8F020000">
      <w:pPr>
        <w:numPr>
          <w:ilvl w:val="0"/>
          <w:numId w:val="9"/>
        </w:numPr>
        <w:tabs>
          <w:tab w:leader="none" w:pos="851" w:val="left"/>
        </w:tabs>
        <w:ind w:firstLine="142" w:left="0"/>
        <w:jc w:val="both"/>
        <w:rPr>
          <w:rFonts w:ascii="Times New Roman" w:hAnsi="Times New Roman"/>
          <w:spacing w:val="-4"/>
          <w:sz w:val="24"/>
        </w:rPr>
      </w:pPr>
      <w:r>
        <w:rPr>
          <w:rFonts w:ascii="Times New Roman" w:hAnsi="Times New Roman"/>
          <w:sz w:val="24"/>
        </w:rPr>
        <w:t>Инвентаризация активов и обязательств: порядок проведения и отражения в учете.</w:t>
      </w:r>
    </w:p>
    <w:p w14:paraId="90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денежных сред</w:t>
      </w:r>
      <w:r>
        <w:rPr>
          <w:rFonts w:ascii="Times New Roman" w:hAnsi="Times New Roman"/>
          <w:sz w:val="24"/>
          <w:highlight w:val="white"/>
        </w:rPr>
        <w:t>ств в кассе орг</w:t>
      </w:r>
      <w:r>
        <w:rPr>
          <w:rFonts w:ascii="Times New Roman" w:hAnsi="Times New Roman"/>
          <w:sz w:val="24"/>
        </w:rPr>
        <w:t>анизации.</w:t>
      </w:r>
    </w:p>
    <w:p w14:paraId="91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Учет денежных документов и переводов в пути.</w:t>
      </w:r>
    </w:p>
    <w:p w14:paraId="92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Учет кассовых операций и ответственность за нарушение кассовой дисциплины</w:t>
      </w:r>
    </w:p>
    <w:p w14:paraId="93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Инвентаризация денежных средств в кассе и денежных документов и учет ее результатов.</w:t>
      </w:r>
    </w:p>
    <w:p w14:paraId="94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Документальное оформление и учет операций по расчетному счету.</w:t>
      </w:r>
    </w:p>
    <w:p w14:paraId="95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Организация бухгалтерского учета денежных средств организации на специальных счетах в банке.</w:t>
      </w:r>
    </w:p>
    <w:p w14:paraId="96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Организация бухгалтерского учета операций по валютным счетам организации в банке</w:t>
      </w:r>
    </w:p>
    <w:p w14:paraId="97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Организация и основы учета безналичных расчетов.</w:t>
      </w:r>
    </w:p>
    <w:p w14:paraId="98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pacing w:val="5"/>
          <w:sz w:val="24"/>
        </w:rPr>
        <w:t>Организации учета расчетных операций дебиторской и кредиторской задолженности.</w:t>
      </w:r>
    </w:p>
    <w:p w14:paraId="99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расчетов с поставщиками и подрядчиками.</w:t>
      </w:r>
    </w:p>
    <w:p w14:paraId="9A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расчетов с покупателями и заказчиками.</w:t>
      </w:r>
    </w:p>
    <w:p w14:paraId="9B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 xml:space="preserve">Бухгалтерский </w:t>
      </w:r>
      <w:r>
        <w:rPr>
          <w:rFonts w:ascii="Times New Roman" w:hAnsi="Times New Roman"/>
          <w:sz w:val="24"/>
          <w:highlight w:val="white"/>
        </w:rPr>
        <w:t>учет расчетов с </w:t>
      </w:r>
      <w:r>
        <w:rPr>
          <w:rFonts w:ascii="Times New Roman" w:hAnsi="Times New Roman"/>
          <w:sz w:val="24"/>
          <w:highlight w:val="white"/>
          <w:u w:val="single"/>
        </w:rPr>
        <w:fldChar w:fldCharType="begin"/>
      </w:r>
      <w:r>
        <w:rPr>
          <w:rFonts w:ascii="Times New Roman" w:hAnsi="Times New Roman"/>
          <w:sz w:val="24"/>
          <w:highlight w:val="white"/>
          <w:u w:val="single"/>
        </w:rPr>
        <w:instrText>HYPERLINK "https://pandia.ru/text/category/podotchetnie_litca/" \o "Подотчетные лица"</w:instrText>
      </w:r>
      <w:r>
        <w:rPr>
          <w:rFonts w:ascii="Times New Roman" w:hAnsi="Times New Roman"/>
          <w:sz w:val="24"/>
          <w:highlight w:val="white"/>
          <w:u w:val="single"/>
        </w:rPr>
        <w:fldChar w:fldCharType="separate"/>
      </w:r>
      <w:r>
        <w:rPr>
          <w:rFonts w:ascii="Times New Roman" w:hAnsi="Times New Roman"/>
          <w:sz w:val="24"/>
          <w:highlight w:val="white"/>
          <w:u w:val="single"/>
        </w:rPr>
        <w:t>подотчетными лицами</w:t>
      </w:r>
      <w:r>
        <w:rPr>
          <w:rFonts w:ascii="Times New Roman" w:hAnsi="Times New Roman"/>
          <w:sz w:val="24"/>
          <w:highlight w:val="white"/>
          <w:u w:val="single"/>
        </w:rPr>
        <w:fldChar w:fldCharType="end"/>
      </w:r>
      <w:r>
        <w:rPr>
          <w:rFonts w:ascii="Times New Roman" w:hAnsi="Times New Roman"/>
          <w:sz w:val="24"/>
          <w:highlight w:val="white"/>
        </w:rPr>
        <w:t>.</w:t>
      </w:r>
    </w:p>
    <w:p w14:paraId="9C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 xml:space="preserve">Инвентаризация расчетов и порядок отражения ее результатов в учете. </w:t>
      </w:r>
    </w:p>
    <w:p w14:paraId="9D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Инвентаризация финансовых обязательств организации и учет ее результатов.</w:t>
      </w:r>
    </w:p>
    <w:p w14:paraId="9E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Учет налогов и отчислений, уплачиваемых организацией в бюджет Российской Федерации.</w:t>
      </w:r>
    </w:p>
    <w:p w14:paraId="9F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Учет расчетов по федеральным налогам и сборам.</w:t>
      </w:r>
    </w:p>
    <w:p w14:paraId="A0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Учет расчетов по региональным налогам и сборам.</w:t>
      </w:r>
    </w:p>
    <w:p w14:paraId="A1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Учет расчетов по местным налогам и сборам.</w:t>
      </w:r>
    </w:p>
    <w:p w14:paraId="A2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расчетов с бюджетом по НДС.</w:t>
      </w:r>
    </w:p>
    <w:p w14:paraId="A3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расчетов с бюджетом по налогу на прибыль.</w:t>
      </w:r>
    </w:p>
    <w:p w14:paraId="A4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расчетов с бюджетом по налогу на доходы физических лиц.</w:t>
      </w:r>
    </w:p>
    <w:p w14:paraId="A5020000">
      <w:pPr>
        <w:numPr>
          <w:ilvl w:val="0"/>
          <w:numId w:val="9"/>
        </w:numPr>
        <w:tabs>
          <w:tab w:leader="none" w:pos="567" w:val="left"/>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 xml:space="preserve">    Бухгалтерский учет расчетов по социальному страхованию и обеспечению.</w:t>
      </w:r>
    </w:p>
    <w:p w14:paraId="A6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расчетов с разными дебиторами и кредиторами.</w:t>
      </w:r>
    </w:p>
    <w:p w14:paraId="A7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расчетов с подотчетными лицами</w:t>
      </w:r>
    </w:p>
    <w:p w14:paraId="A8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расчетов с персоналом по прочим операциям.</w:t>
      </w:r>
    </w:p>
    <w:p w14:paraId="A9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расчетов с учредителями.</w:t>
      </w:r>
    </w:p>
    <w:p w14:paraId="AA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 xml:space="preserve">Учет </w:t>
      </w:r>
      <w:r>
        <w:rPr>
          <w:rFonts w:ascii="Times New Roman" w:hAnsi="Times New Roman"/>
          <w:sz w:val="24"/>
        </w:rPr>
        <w:fldChar w:fldCharType="begin"/>
      </w:r>
      <w:r>
        <w:rPr>
          <w:rFonts w:ascii="Times New Roman" w:hAnsi="Times New Roman"/>
          <w:sz w:val="24"/>
        </w:rPr>
        <w:instrText>HYPERLINK "https://pandia.ru/text/category/kratkosrochnij_kredit/" \o "Краткосрочный кредит"</w:instrText>
      </w:r>
      <w:r>
        <w:rPr>
          <w:rFonts w:ascii="Times New Roman" w:hAnsi="Times New Roman"/>
          <w:sz w:val="24"/>
        </w:rPr>
        <w:fldChar w:fldCharType="separate"/>
      </w:r>
      <w:r>
        <w:rPr>
          <w:rFonts w:ascii="Times New Roman" w:hAnsi="Times New Roman"/>
          <w:sz w:val="24"/>
        </w:rPr>
        <w:t>краткосрочных кредитов</w:t>
      </w:r>
      <w:r>
        <w:rPr>
          <w:rFonts w:ascii="Times New Roman" w:hAnsi="Times New Roman"/>
          <w:sz w:val="24"/>
        </w:rPr>
        <w:fldChar w:fldCharType="end"/>
      </w:r>
      <w:r>
        <w:rPr>
          <w:rFonts w:ascii="Times New Roman" w:hAnsi="Times New Roman"/>
          <w:b w:val="1"/>
          <w:sz w:val="24"/>
        </w:rPr>
        <w:t> </w:t>
      </w:r>
      <w:r>
        <w:rPr>
          <w:rFonts w:ascii="Times New Roman" w:hAnsi="Times New Roman"/>
          <w:sz w:val="24"/>
        </w:rPr>
        <w:t>и займов.</w:t>
      </w:r>
    </w:p>
    <w:p w14:paraId="AB020000">
      <w:pPr>
        <w:numPr>
          <w:ilvl w:val="0"/>
          <w:numId w:val="9"/>
        </w:numPr>
        <w:tabs>
          <w:tab w:leader="none" w:pos="851" w:val="left"/>
          <w:tab w:leader="none" w:pos="1134" w:val="left"/>
        </w:tabs>
        <w:ind w:firstLine="142" w:left="0"/>
        <w:jc w:val="both"/>
        <w:rPr>
          <w:rFonts w:ascii="Times New Roman" w:hAnsi="Times New Roman"/>
          <w:sz w:val="24"/>
        </w:rPr>
      </w:pPr>
      <w:r>
        <w:rPr>
          <w:rFonts w:ascii="Times New Roman" w:hAnsi="Times New Roman"/>
          <w:sz w:val="24"/>
        </w:rPr>
        <w:t>Учет</w:t>
      </w:r>
      <w:r>
        <w:rPr>
          <w:rFonts w:ascii="Times New Roman" w:hAnsi="Times New Roman"/>
          <w:b w:val="1"/>
          <w:sz w:val="24"/>
        </w:rPr>
        <w:t xml:space="preserve"> </w:t>
      </w:r>
      <w:r>
        <w:rPr>
          <w:rFonts w:ascii="Times New Roman" w:hAnsi="Times New Roman"/>
          <w:sz w:val="24"/>
        </w:rPr>
        <w:fldChar w:fldCharType="begin"/>
      </w:r>
      <w:r>
        <w:rPr>
          <w:rFonts w:ascii="Times New Roman" w:hAnsi="Times New Roman"/>
          <w:sz w:val="24"/>
        </w:rPr>
        <w:instrText>HYPERLINK "https://pandia.ru/text/category/dolgosrochnij_kredit/" \o "Долгосрочный кредит"</w:instrText>
      </w:r>
      <w:r>
        <w:rPr>
          <w:rFonts w:ascii="Times New Roman" w:hAnsi="Times New Roman"/>
          <w:sz w:val="24"/>
        </w:rPr>
        <w:fldChar w:fldCharType="separate"/>
      </w:r>
      <w:r>
        <w:rPr>
          <w:rFonts w:ascii="Times New Roman" w:hAnsi="Times New Roman"/>
          <w:sz w:val="24"/>
        </w:rPr>
        <w:t>долгосрочных кредитов</w:t>
      </w:r>
      <w:r>
        <w:rPr>
          <w:rFonts w:ascii="Times New Roman" w:hAnsi="Times New Roman"/>
          <w:sz w:val="24"/>
        </w:rPr>
        <w:fldChar w:fldCharType="end"/>
      </w:r>
      <w:r>
        <w:rPr>
          <w:rFonts w:ascii="Times New Roman" w:hAnsi="Times New Roman"/>
          <w:b w:val="1"/>
          <w:sz w:val="24"/>
        </w:rPr>
        <w:t> </w:t>
      </w:r>
      <w:r>
        <w:rPr>
          <w:rFonts w:ascii="Times New Roman" w:hAnsi="Times New Roman"/>
          <w:sz w:val="24"/>
        </w:rPr>
        <w:t>и займов.</w:t>
      </w:r>
    </w:p>
    <w:p w14:paraId="AC020000">
      <w:pPr>
        <w:numPr>
          <w:ilvl w:val="0"/>
          <w:numId w:val="9"/>
        </w:numPr>
        <w:tabs>
          <w:tab w:leader="none" w:pos="851" w:val="left"/>
          <w:tab w:leader="none" w:pos="915" w:val="left"/>
          <w:tab w:leader="none" w:pos="1134" w:val="left"/>
        </w:tabs>
        <w:ind w:firstLine="142" w:left="0"/>
        <w:jc w:val="both"/>
        <w:rPr>
          <w:rFonts w:ascii="Times New Roman" w:hAnsi="Times New Roman"/>
          <w:spacing w:val="-4"/>
          <w:sz w:val="24"/>
        </w:rPr>
      </w:pPr>
      <w:r>
        <w:rPr>
          <w:rFonts w:ascii="Times New Roman" w:hAnsi="Times New Roman"/>
          <w:spacing w:val="-4"/>
          <w:sz w:val="24"/>
        </w:rPr>
        <w:t>Учет труда и заработной платы работников организации.</w:t>
      </w:r>
    </w:p>
    <w:p w14:paraId="AD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расчетов с персоналом по оплате труда.</w:t>
      </w:r>
    </w:p>
    <w:p w14:paraId="AE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 xml:space="preserve">Бухгалтерский учет расчетов с персоналом за неотработанное время. </w:t>
      </w:r>
    </w:p>
    <w:p w14:paraId="AF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удержаний и вычетов из заработной платы.</w:t>
      </w:r>
    </w:p>
    <w:p w14:paraId="B0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Синтетический и аналитический учет удержаний из заработной платы</w:t>
      </w:r>
    </w:p>
    <w:p w14:paraId="B1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 xml:space="preserve">Бухгалтерский учет поступления основных средств. </w:t>
      </w:r>
    </w:p>
    <w:p w14:paraId="B2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реализации и прочего выбытия основных средств.</w:t>
      </w:r>
    </w:p>
    <w:p w14:paraId="B3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арендованных основных средств.</w:t>
      </w:r>
    </w:p>
    <w:p w14:paraId="B4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 xml:space="preserve">Бухгалтерский учет амортизации основных средств. </w:t>
      </w:r>
    </w:p>
    <w:p w14:paraId="B5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ремонта основных средств.</w:t>
      </w:r>
    </w:p>
    <w:p w14:paraId="B6020000">
      <w:pPr>
        <w:numPr>
          <w:ilvl w:val="0"/>
          <w:numId w:val="9"/>
        </w:numPr>
        <w:tabs>
          <w:tab w:leader="none" w:pos="851" w:val="left"/>
          <w:tab w:leader="none" w:pos="915" w:val="left"/>
          <w:tab w:leader="none" w:pos="1134" w:val="left"/>
        </w:tabs>
        <w:ind w:firstLine="142" w:left="0"/>
        <w:jc w:val="both"/>
        <w:rPr>
          <w:rFonts w:ascii="Times New Roman" w:hAnsi="Times New Roman"/>
          <w:b w:val="1"/>
          <w:sz w:val="24"/>
        </w:rPr>
      </w:pPr>
      <w:r>
        <w:rPr>
          <w:rFonts w:ascii="Times New Roman" w:hAnsi="Times New Roman"/>
          <w:sz w:val="24"/>
        </w:rPr>
        <w:t xml:space="preserve">Бухгалтерский учет </w:t>
      </w:r>
      <w:r>
        <w:rPr>
          <w:rFonts w:ascii="Times New Roman" w:hAnsi="Times New Roman"/>
          <w:sz w:val="24"/>
          <w:highlight w:val="white"/>
        </w:rPr>
        <w:t>лизинговых операций.</w:t>
      </w:r>
    </w:p>
    <w:p w14:paraId="B7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Инвентаризация основных средств, отражение ее результатов в бухгалтерском учете организации.</w:t>
      </w:r>
    </w:p>
    <w:p w14:paraId="B8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нематериальных активов.</w:t>
      </w:r>
    </w:p>
    <w:p w14:paraId="B9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Оценка и организация учета долгосрочных инвестиций</w:t>
      </w:r>
    </w:p>
    <w:p w14:paraId="BA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Документальное оформление и учет финансовых вложений.</w:t>
      </w:r>
    </w:p>
    <w:p w14:paraId="BB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Организация бухгалтерского учета и оценка материально-производственных запасов.</w:t>
      </w:r>
    </w:p>
    <w:p w14:paraId="BC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движения сырья и материалов.</w:t>
      </w:r>
    </w:p>
    <w:p w14:paraId="BD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поступления сырья и материалов.</w:t>
      </w:r>
    </w:p>
    <w:p w14:paraId="BE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отпуска сырья и материалов в производство и прочего их выбытия.</w:t>
      </w:r>
    </w:p>
    <w:p w14:paraId="BF020000">
      <w:pPr>
        <w:numPr>
          <w:ilvl w:val="0"/>
          <w:numId w:val="9"/>
        </w:numPr>
        <w:tabs>
          <w:tab w:leader="none" w:pos="851" w:val="left"/>
          <w:tab w:leader="none" w:pos="915" w:val="left"/>
          <w:tab w:leader="none" w:pos="1134" w:val="left"/>
        </w:tabs>
        <w:ind w:firstLine="142" w:left="0"/>
        <w:jc w:val="both"/>
        <w:rPr>
          <w:rFonts w:ascii="Times New Roman" w:hAnsi="Times New Roman"/>
          <w:b w:val="1"/>
          <w:i w:val="1"/>
          <w:sz w:val="24"/>
        </w:rPr>
      </w:pPr>
      <w:r>
        <w:rPr>
          <w:rFonts w:ascii="Times New Roman" w:hAnsi="Times New Roman"/>
          <w:sz w:val="24"/>
          <w:highlight w:val="white"/>
        </w:rPr>
        <w:t>Инвентаризация сырья и материалов и учет ее результатов.</w:t>
      </w:r>
    </w:p>
    <w:p w14:paraId="C0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highlight w:val="white"/>
        </w:rPr>
        <w:t>Учет наличия и движения товаров в организациях розничной торговли. </w:t>
      </w:r>
    </w:p>
    <w:p w14:paraId="C1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highlight w:val="white"/>
        </w:rPr>
        <w:t>Учет наличия и движения товаров в организациях розничной торговли. </w:t>
      </w:r>
    </w:p>
    <w:p w14:paraId="C2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поступления товаров и тары в организациях розничной торговли</w:t>
      </w:r>
    </w:p>
    <w:p w14:paraId="C3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продажи товаров в организациях розничной торговли.</w:t>
      </w:r>
    </w:p>
    <w:p w14:paraId="C4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поступления товаров и тары в организациях оптовой торговли</w:t>
      </w:r>
    </w:p>
    <w:p w14:paraId="C5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продажи товаров и тары в организациях оптовой торговли.</w:t>
      </w:r>
    </w:p>
    <w:p w14:paraId="C6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fldChar w:fldCharType="begin"/>
      </w:r>
      <w:r>
        <w:rPr>
          <w:rFonts w:ascii="Times New Roman" w:hAnsi="Times New Roman"/>
          <w:sz w:val="24"/>
        </w:rPr>
        <w:instrText>HYPERLINK "https://a-center.ru/gotovye-raboty/inventarizatsiya-tovarov-i-tary-na-predpriyatiyakh-roznichnoy-torgovli-poryadok-otrazheniya-ee-rezul-9601089/"</w:instrText>
      </w:r>
      <w:r>
        <w:rPr>
          <w:rFonts w:ascii="Times New Roman" w:hAnsi="Times New Roman"/>
          <w:sz w:val="24"/>
        </w:rPr>
        <w:fldChar w:fldCharType="separate"/>
      </w:r>
      <w:r>
        <w:rPr>
          <w:rFonts w:ascii="Times New Roman" w:hAnsi="Times New Roman"/>
          <w:sz w:val="24"/>
        </w:rPr>
        <w:t>Инвентаризация товаров и тары на предприятиях розничной торговли, порядок отражения ее результатов</w:t>
      </w:r>
      <w:r>
        <w:rPr>
          <w:rFonts w:ascii="Times New Roman" w:hAnsi="Times New Roman"/>
          <w:sz w:val="24"/>
        </w:rPr>
        <w:fldChar w:fldCharType="end"/>
      </w:r>
      <w:r>
        <w:rPr>
          <w:rFonts w:ascii="Times New Roman" w:hAnsi="Times New Roman"/>
          <w:sz w:val="24"/>
        </w:rPr>
        <w:t>.</w:t>
      </w:r>
    </w:p>
    <w:p w14:paraId="C7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 xml:space="preserve">Инвентаризация материально-производственных запасов. </w:t>
      </w:r>
    </w:p>
    <w:p w14:paraId="C8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Учет затрат на производство и калькулирование себестоимости продукции в условиях реформирования бухгалтерского и налогового учета.</w:t>
      </w:r>
    </w:p>
    <w:p w14:paraId="C9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Учет затрат на производство в условиях позаказного метода калькулирования себестоимости продукции (работ, услуг).</w:t>
      </w:r>
    </w:p>
    <w:p w14:paraId="CA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Учет затрат на производство в условиях нормативного метода калькулирования себестоимости продукции (работ, услуг).</w:t>
      </w:r>
    </w:p>
    <w:p w14:paraId="CB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 xml:space="preserve">Учет затрат на производство в условиях </w:t>
      </w:r>
      <w:r>
        <w:rPr>
          <w:rFonts w:ascii="Times New Roman" w:hAnsi="Times New Roman"/>
          <w:sz w:val="24"/>
        </w:rPr>
        <w:t>попередельного</w:t>
      </w:r>
      <w:r>
        <w:rPr>
          <w:rFonts w:ascii="Times New Roman" w:hAnsi="Times New Roman"/>
          <w:sz w:val="24"/>
        </w:rPr>
        <w:t xml:space="preserve"> метода калькулирования себестоимости продукции (работ, услуг).</w:t>
      </w:r>
    </w:p>
    <w:p w14:paraId="CC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 xml:space="preserve"> Оценка и бухгалтерский учет незавершенного производства продукции.</w:t>
      </w:r>
    </w:p>
    <w:p w14:paraId="CD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движения готовой продукции.</w:t>
      </w:r>
    </w:p>
    <w:p w14:paraId="CE020000">
      <w:pPr>
        <w:numPr>
          <w:ilvl w:val="0"/>
          <w:numId w:val="9"/>
        </w:numPr>
        <w:tabs>
          <w:tab w:leader="none" w:pos="851" w:val="left"/>
          <w:tab w:leader="none" w:pos="915" w:val="left"/>
          <w:tab w:leader="none" w:pos="1134" w:val="left"/>
        </w:tabs>
        <w:ind w:firstLine="142" w:left="0"/>
        <w:jc w:val="both"/>
        <w:rPr>
          <w:rFonts w:ascii="Times New Roman" w:hAnsi="Times New Roman"/>
          <w:strike w:val="1"/>
          <w:sz w:val="24"/>
        </w:rPr>
      </w:pPr>
      <w:r>
        <w:rPr>
          <w:rFonts w:ascii="Times New Roman" w:hAnsi="Times New Roman"/>
          <w:sz w:val="24"/>
        </w:rPr>
        <w:t xml:space="preserve">Бухгалтерский учет выпуска готовой продукции из </w:t>
      </w:r>
    </w:p>
    <w:p w14:paraId="CF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и документальное оформление продажи готовой продукции.</w:t>
      </w:r>
    </w:p>
    <w:p w14:paraId="D0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Инвентаризация готовой продукции и отражение ее результатов.</w:t>
      </w:r>
    </w:p>
    <w:p w14:paraId="D1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Организация бухгалтерского учета собственного капитала.</w:t>
      </w:r>
    </w:p>
    <w:p w14:paraId="D2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Формирование и учет собственного капитала организаций.</w:t>
      </w:r>
    </w:p>
    <w:p w14:paraId="D3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highlight w:val="white"/>
        </w:rPr>
        <w:t>Особенности формирования и учета уставного капитала. </w:t>
      </w:r>
    </w:p>
    <w:p w14:paraId="D4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Учет уставного капитала акционерного общества.</w:t>
      </w:r>
    </w:p>
    <w:p w14:paraId="D5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резервного капитала.</w:t>
      </w:r>
    </w:p>
    <w:p w14:paraId="D6020000">
      <w:pPr>
        <w:numPr>
          <w:ilvl w:val="0"/>
          <w:numId w:val="9"/>
        </w:numPr>
        <w:tabs>
          <w:tab w:leader="none" w:pos="851" w:val="left"/>
          <w:tab w:leader="none" w:pos="915" w:val="left"/>
          <w:tab w:leader="none" w:pos="1134" w:val="left"/>
        </w:tabs>
        <w:ind w:firstLine="142" w:left="0"/>
        <w:jc w:val="both"/>
        <w:rPr>
          <w:rFonts w:ascii="Times New Roman" w:hAnsi="Times New Roman"/>
          <w:sz w:val="24"/>
        </w:rPr>
      </w:pPr>
      <w:r>
        <w:rPr>
          <w:rFonts w:ascii="Times New Roman" w:hAnsi="Times New Roman"/>
          <w:sz w:val="24"/>
        </w:rPr>
        <w:t>Бухгалтерский учет добавочного капитала.</w:t>
      </w:r>
    </w:p>
    <w:p w14:paraId="D7020000">
      <w:pPr>
        <w:numPr>
          <w:ilvl w:val="0"/>
          <w:numId w:val="9"/>
        </w:numPr>
        <w:tabs>
          <w:tab w:leader="none" w:pos="851" w:val="left"/>
          <w:tab w:leader="none" w:pos="915" w:val="left"/>
          <w:tab w:leader="none" w:pos="1134" w:val="left"/>
        </w:tabs>
        <w:ind w:firstLine="142" w:left="0"/>
        <w:contextualSpacing w:val="1"/>
        <w:jc w:val="both"/>
        <w:rPr>
          <w:rFonts w:ascii="Times New Roman" w:hAnsi="Times New Roman"/>
          <w:sz w:val="24"/>
        </w:rPr>
      </w:pPr>
      <w:r>
        <w:rPr>
          <w:rFonts w:ascii="Times New Roman" w:hAnsi="Times New Roman"/>
          <w:sz w:val="24"/>
        </w:rPr>
        <w:t>Структура финансового результата деятельности предприятия, порядок его формирования и принципы учета.</w:t>
      </w:r>
    </w:p>
    <w:p w14:paraId="D8020000">
      <w:pPr>
        <w:numPr>
          <w:ilvl w:val="0"/>
          <w:numId w:val="9"/>
        </w:numPr>
        <w:tabs>
          <w:tab w:leader="none" w:pos="851" w:val="left"/>
          <w:tab w:leader="none" w:pos="915" w:val="left"/>
          <w:tab w:leader="none" w:pos="1134" w:val="left"/>
        </w:tabs>
        <w:ind w:firstLine="142" w:left="0"/>
        <w:contextualSpacing w:val="1"/>
        <w:jc w:val="both"/>
        <w:rPr>
          <w:rFonts w:ascii="Times New Roman" w:hAnsi="Times New Roman"/>
          <w:sz w:val="24"/>
        </w:rPr>
      </w:pPr>
      <w:r>
        <w:rPr>
          <w:rFonts w:ascii="Times New Roman" w:hAnsi="Times New Roman"/>
          <w:sz w:val="24"/>
        </w:rPr>
        <w:t xml:space="preserve">Бухгалтерский учет доходов и расходов по обычным видам деятельности экономического субъекта. </w:t>
      </w:r>
    </w:p>
    <w:p w14:paraId="D9020000">
      <w:pPr>
        <w:numPr>
          <w:ilvl w:val="0"/>
          <w:numId w:val="9"/>
        </w:numPr>
        <w:tabs>
          <w:tab w:leader="none" w:pos="851" w:val="left"/>
          <w:tab w:leader="none" w:pos="915" w:val="left"/>
          <w:tab w:leader="none" w:pos="1134" w:val="left"/>
        </w:tabs>
        <w:ind w:firstLine="142" w:left="0"/>
        <w:contextualSpacing w:val="1"/>
        <w:jc w:val="both"/>
        <w:rPr>
          <w:rFonts w:ascii="Times New Roman" w:hAnsi="Times New Roman"/>
          <w:sz w:val="24"/>
        </w:rPr>
      </w:pPr>
      <w:r>
        <w:rPr>
          <w:rFonts w:ascii="Times New Roman" w:hAnsi="Times New Roman"/>
          <w:sz w:val="24"/>
        </w:rPr>
        <w:t>Бухгалтерский учет прочих доходов и расходов экономического субъекта.</w:t>
      </w:r>
    </w:p>
    <w:p w14:paraId="DA020000">
      <w:pPr>
        <w:ind w:firstLine="708" w:left="0"/>
        <w:jc w:val="both"/>
        <w:rPr>
          <w:rFonts w:ascii="Times New Roman" w:hAnsi="Times New Roman"/>
          <w:sz w:val="24"/>
        </w:rPr>
      </w:pPr>
      <w:r>
        <w:rPr>
          <w:rFonts w:ascii="Times New Roman" w:hAnsi="Times New Roman"/>
          <w:sz w:val="24"/>
        </w:rPr>
        <w:t>Учет формирования, распределения и использования прибыли в организации.</w:t>
      </w:r>
    </w:p>
    <w:p w14:paraId="DB020000">
      <w:pPr>
        <w:ind w:firstLine="708" w:left="0"/>
        <w:jc w:val="both"/>
        <w:rPr>
          <w:rFonts w:ascii="Times New Roman" w:hAnsi="Times New Roman"/>
          <w:sz w:val="24"/>
        </w:rPr>
      </w:pPr>
    </w:p>
    <w:p w14:paraId="DC020000">
      <w:pPr>
        <w:ind w:firstLine="708" w:left="0"/>
        <w:jc w:val="both"/>
        <w:rPr>
          <w:rFonts w:ascii="Times New Roman" w:hAnsi="Times New Roman"/>
          <w:sz w:val="24"/>
        </w:rPr>
      </w:pPr>
    </w:p>
    <w:p w14:paraId="DD020000">
      <w:bookmarkStart w:id="19" w:name="__RefHeading___9"/>
      <w:bookmarkEnd w:id="19"/>
      <w:bookmarkStart w:id="20" w:name="__RefHeading___32"/>
      <w:bookmarkEnd w:id="20"/>
      <w:pPr>
        <w:pStyle w:val="Style_5"/>
        <w:rPr>
          <w:rFonts w:ascii="Times New Roman" w:hAnsi="Times New Roman"/>
        </w:rPr>
      </w:pPr>
      <w:bookmarkEnd w:id="18"/>
      <w:r>
        <w:rPr>
          <w:rFonts w:ascii="Times New Roman" w:hAnsi="Times New Roman"/>
        </w:rPr>
        <w:t xml:space="preserve">3. </w:t>
      </w:r>
      <w:r>
        <w:rPr>
          <w:rFonts w:ascii="Times New Roman" w:hAnsi="Times New Roman"/>
        </w:rPr>
        <w:t>Условия реализации профессионального модуля</w:t>
      </w:r>
    </w:p>
    <w:p w14:paraId="DE020000">
      <w:bookmarkStart w:id="21" w:name="__RefHeading___10"/>
      <w:bookmarkEnd w:id="21"/>
      <w:bookmarkStart w:id="22" w:name="__RefHeading___33"/>
      <w:bookmarkEnd w:id="22"/>
      <w:pPr>
        <w:pStyle w:val="Style_7"/>
        <w:rPr>
          <w:rFonts w:ascii="Times New Roman" w:hAnsi="Times New Roman"/>
        </w:rPr>
      </w:pPr>
      <w:r>
        <w:rPr>
          <w:rFonts w:ascii="Times New Roman" w:hAnsi="Times New Roman"/>
        </w:rPr>
        <w:t>3.1. Материально-техническое обеспечение</w:t>
      </w:r>
    </w:p>
    <w:p w14:paraId="DF020000">
      <w:pPr>
        <w:ind w:firstLine="709" w:left="0"/>
        <w:jc w:val="both"/>
        <w:rPr>
          <w:rFonts w:ascii="Times New Roman" w:hAnsi="Times New Roman"/>
          <w:sz w:val="24"/>
        </w:rPr>
      </w:pPr>
      <w:r>
        <w:rPr>
          <w:rFonts w:ascii="Times New Roman" w:hAnsi="Times New Roman"/>
          <w:sz w:val="24"/>
        </w:rPr>
        <w:t>Кабинет</w:t>
      </w:r>
      <w:r>
        <w:rPr>
          <w:rFonts w:ascii="Times New Roman" w:hAnsi="Times New Roman"/>
          <w:i w:val="1"/>
          <w:sz w:val="24"/>
        </w:rPr>
        <w:t xml:space="preserve"> </w:t>
      </w:r>
      <w:r>
        <w:rPr>
          <w:rFonts w:ascii="Times New Roman" w:hAnsi="Times New Roman"/>
          <w:sz w:val="24"/>
        </w:rPr>
        <w:t>«</w:t>
      </w:r>
      <w:r>
        <w:rPr>
          <w:rFonts w:ascii="Times New Roman" w:hAnsi="Times New Roman"/>
          <w:color w:themeColor="text1" w:val="000000"/>
          <w:sz w:val="24"/>
        </w:rPr>
        <w:t>Общепрофессиональных дисциплин и МДК»</w:t>
      </w:r>
      <w:r>
        <w:rPr>
          <w:rFonts w:ascii="Times New Roman" w:hAnsi="Times New Roman"/>
          <w:i w:val="1"/>
          <w:sz w:val="24"/>
        </w:rPr>
        <w:t xml:space="preserve">, </w:t>
      </w:r>
      <w:r>
        <w:rPr>
          <w:rFonts w:ascii="Times New Roman" w:hAnsi="Times New Roman"/>
          <w:sz w:val="24"/>
        </w:rPr>
        <w:t>оснащенный</w:t>
      </w:r>
      <w:r>
        <w:rPr>
          <w:rFonts w:ascii="Times New Roman" w:hAnsi="Times New Roman"/>
          <w:sz w:val="24"/>
        </w:rPr>
        <w:t xml:space="preserve"> </w:t>
      </w:r>
      <w:r>
        <w:rPr>
          <w:rFonts w:ascii="Times New Roman" w:hAnsi="Times New Roman"/>
          <w:sz w:val="24"/>
        </w:rPr>
        <w:t xml:space="preserve">в соответствии с приложением 3 </w:t>
      </w:r>
      <w:r>
        <w:rPr>
          <w:rFonts w:ascii="Times New Roman" w:hAnsi="Times New Roman"/>
          <w:sz w:val="24"/>
        </w:rPr>
        <w:t>ПОП</w:t>
      </w:r>
      <w:r>
        <w:rPr>
          <w:rFonts w:ascii="Times New Roman" w:hAnsi="Times New Roman"/>
          <w:sz w:val="24"/>
        </w:rPr>
        <w:t>-П</w:t>
      </w:r>
      <w:r>
        <w:rPr>
          <w:rFonts w:ascii="Times New Roman" w:hAnsi="Times New Roman"/>
          <w:sz w:val="24"/>
        </w:rPr>
        <w:t xml:space="preserve">. </w:t>
      </w:r>
    </w:p>
    <w:p w14:paraId="E0020000">
      <w:pPr>
        <w:ind w:firstLine="709" w:left="0"/>
        <w:jc w:val="both"/>
        <w:rPr>
          <w:rFonts w:ascii="Times New Roman" w:hAnsi="Times New Roman"/>
          <w:i w:val="1"/>
          <w:sz w:val="24"/>
        </w:rPr>
      </w:pPr>
      <w:r>
        <w:rPr>
          <w:rFonts w:ascii="Times New Roman" w:hAnsi="Times New Roman"/>
          <w:sz w:val="24"/>
        </w:rPr>
        <w:t>Лаборатория «Цифровых технологий в бухгалтерском учете», оснащенная</w:t>
      </w:r>
      <w:r>
        <w:rPr>
          <w:rFonts w:ascii="Times New Roman" w:hAnsi="Times New Roman"/>
          <w:sz w:val="24"/>
        </w:rPr>
        <w:t xml:space="preserve"> в соответствии с </w:t>
      </w:r>
      <w:r>
        <w:rPr>
          <w:rFonts w:ascii="Times New Roman" w:hAnsi="Times New Roman"/>
          <w:sz w:val="24"/>
        </w:rPr>
        <w:t xml:space="preserve">приложением 3 </w:t>
      </w:r>
      <w:r>
        <w:rPr>
          <w:rFonts w:ascii="Times New Roman" w:hAnsi="Times New Roman"/>
          <w:sz w:val="24"/>
        </w:rPr>
        <w:t>ПОП</w:t>
      </w:r>
      <w:r>
        <w:rPr>
          <w:rFonts w:ascii="Times New Roman" w:hAnsi="Times New Roman"/>
          <w:sz w:val="24"/>
        </w:rPr>
        <w:t>-П</w:t>
      </w:r>
      <w:r>
        <w:rPr>
          <w:rFonts w:ascii="Times New Roman" w:hAnsi="Times New Roman"/>
          <w:i w:val="1"/>
          <w:sz w:val="24"/>
        </w:rPr>
        <w:t>.</w:t>
      </w:r>
    </w:p>
    <w:p w14:paraId="E1020000">
      <w:pPr>
        <w:ind w:firstLine="709" w:left="0"/>
        <w:jc w:val="both"/>
        <w:rPr>
          <w:rFonts w:ascii="Times New Roman" w:hAnsi="Times New Roman"/>
          <w:i w:val="1"/>
          <w:sz w:val="24"/>
        </w:rPr>
      </w:pPr>
      <w:r>
        <w:rPr>
          <w:rFonts w:ascii="Times New Roman" w:hAnsi="Times New Roman"/>
          <w:sz w:val="24"/>
        </w:rPr>
        <w:t>Мастерская «</w:t>
      </w:r>
      <w:r>
        <w:rPr>
          <w:rFonts w:ascii="Times New Roman" w:hAnsi="Times New Roman"/>
          <w:sz w:val="24"/>
        </w:rPr>
        <w:t>Учебная бухгалтерия</w:t>
      </w:r>
      <w:r>
        <w:rPr>
          <w:rFonts w:ascii="Times New Roman" w:hAnsi="Times New Roman"/>
          <w:sz w:val="24"/>
        </w:rPr>
        <w:t>»</w:t>
      </w:r>
      <w:r>
        <w:rPr>
          <w:rFonts w:ascii="Times New Roman" w:hAnsi="Times New Roman"/>
          <w:i w:val="1"/>
          <w:sz w:val="24"/>
        </w:rPr>
        <w:t xml:space="preserve">, </w:t>
      </w:r>
      <w:r>
        <w:rPr>
          <w:rFonts w:ascii="Times New Roman" w:hAnsi="Times New Roman"/>
          <w:sz w:val="24"/>
        </w:rPr>
        <w:t>оснащенная</w:t>
      </w:r>
      <w:r>
        <w:rPr>
          <w:rFonts w:ascii="Times New Roman" w:hAnsi="Times New Roman"/>
          <w:sz w:val="24"/>
        </w:rPr>
        <w:t xml:space="preserve"> </w:t>
      </w:r>
      <w:r>
        <w:rPr>
          <w:rFonts w:ascii="Times New Roman" w:hAnsi="Times New Roman"/>
          <w:sz w:val="24"/>
        </w:rPr>
        <w:t xml:space="preserve">в соответствии с </w:t>
      </w:r>
      <w:r>
        <w:rPr>
          <w:rFonts w:ascii="Times New Roman" w:hAnsi="Times New Roman"/>
          <w:sz w:val="24"/>
        </w:rPr>
        <w:t xml:space="preserve">приложением 3 </w:t>
      </w:r>
      <w:r>
        <w:rPr>
          <w:rFonts w:ascii="Times New Roman" w:hAnsi="Times New Roman"/>
          <w:sz w:val="24"/>
        </w:rPr>
        <w:t>ПОП</w:t>
      </w:r>
      <w:r>
        <w:rPr>
          <w:rFonts w:ascii="Times New Roman" w:hAnsi="Times New Roman"/>
          <w:sz w:val="24"/>
        </w:rPr>
        <w:t>-П</w:t>
      </w:r>
      <w:r>
        <w:rPr>
          <w:rFonts w:ascii="Times New Roman" w:hAnsi="Times New Roman"/>
          <w:i w:val="1"/>
          <w:sz w:val="24"/>
        </w:rPr>
        <w:t>.</w:t>
      </w:r>
    </w:p>
    <w:p w14:paraId="E2020000">
      <w:pPr>
        <w:spacing w:after="200" w:line="276" w:lineRule="auto"/>
        <w:ind/>
        <w:rPr>
          <w:rFonts w:ascii="Times New Roman" w:hAnsi="Times New Roman"/>
          <w:b w:val="1"/>
          <w:sz w:val="24"/>
        </w:rPr>
      </w:pPr>
    </w:p>
    <w:p w14:paraId="E3020000">
      <w:bookmarkStart w:id="23" w:name="__RefHeading___11"/>
      <w:bookmarkEnd w:id="23"/>
      <w:bookmarkStart w:id="24" w:name="__RefHeading___34"/>
      <w:bookmarkEnd w:id="24"/>
      <w:pPr>
        <w:pStyle w:val="Style_7"/>
        <w:rPr>
          <w:rFonts w:ascii="Times New Roman" w:hAnsi="Times New Roman"/>
        </w:rPr>
      </w:pPr>
      <w:r>
        <w:rPr>
          <w:rFonts w:ascii="Times New Roman" w:hAnsi="Times New Roman"/>
        </w:rPr>
        <w:t>3.2. Учебно-методическое обеспечение</w:t>
      </w:r>
    </w:p>
    <w:p w14:paraId="E4020000">
      <w:pPr>
        <w:pStyle w:val="Style_11"/>
        <w:spacing w:line="276" w:lineRule="auto"/>
        <w:ind w:firstLine="709" w:left="0"/>
        <w:jc w:val="both"/>
        <w:rPr>
          <w:rFonts w:ascii="Times New Roman" w:hAnsi="Times New Roman"/>
          <w:sz w:val="24"/>
        </w:rPr>
      </w:pPr>
      <w:bookmarkStart w:id="25" w:name="_Hlk152333986"/>
      <w:r>
        <w:rPr>
          <w:rFonts w:ascii="Times New Roman" w:hAnsi="Times New Roman"/>
          <w:sz w:val="24"/>
        </w:rPr>
        <w:t>Для реализации программы библиотечный фонд образовательной организации должен иметь п</w:t>
      </w:r>
      <w:r>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5"/>
    </w:p>
    <w:p w14:paraId="E5020000">
      <w:pPr>
        <w:pStyle w:val="Style_11"/>
        <w:spacing w:line="276" w:lineRule="auto"/>
        <w:ind w:firstLine="709" w:left="0"/>
        <w:jc w:val="both"/>
        <w:rPr>
          <w:rFonts w:ascii="Times New Roman" w:hAnsi="Times New Roman"/>
          <w:sz w:val="24"/>
        </w:rPr>
      </w:pPr>
    </w:p>
    <w:p w14:paraId="E6020000">
      <w:pPr>
        <w:pStyle w:val="Style_11"/>
        <w:spacing w:line="276" w:lineRule="auto"/>
        <w:ind w:firstLine="709" w:left="0"/>
        <w:rPr>
          <w:rFonts w:ascii="Times New Roman" w:hAnsi="Times New Roman"/>
          <w:b w:val="1"/>
          <w:sz w:val="24"/>
        </w:rPr>
      </w:pPr>
      <w:r>
        <w:rPr>
          <w:rFonts w:ascii="Times New Roman" w:hAnsi="Times New Roman"/>
          <w:b w:val="1"/>
          <w:sz w:val="24"/>
        </w:rPr>
        <w:t xml:space="preserve">3.2.1. Основные печатные и/или </w:t>
      </w:r>
      <w:r>
        <w:rPr>
          <w:rFonts w:ascii="Times New Roman" w:hAnsi="Times New Roman"/>
          <w:b w:val="1"/>
          <w:sz w:val="24"/>
        </w:rPr>
        <w:t xml:space="preserve">электронные </w:t>
      </w:r>
      <w:r>
        <w:rPr>
          <w:rFonts w:ascii="Times New Roman" w:hAnsi="Times New Roman"/>
          <w:b w:val="1"/>
          <w:sz w:val="24"/>
        </w:rPr>
        <w:t>издания</w:t>
      </w:r>
    </w:p>
    <w:p w14:paraId="E7020000">
      <w:pPr>
        <w:numPr>
          <w:ilvl w:val="0"/>
          <w:numId w:val="10"/>
        </w:numPr>
        <w:tabs>
          <w:tab w:leader="none" w:pos="1134" w:val="left"/>
        </w:tabs>
        <w:spacing w:line="276" w:lineRule="auto"/>
        <w:ind w:firstLine="709" w:left="0"/>
        <w:contextualSpacing w:val="1"/>
        <w:jc w:val="both"/>
        <w:rPr>
          <w:rFonts w:ascii="Times New Roman" w:hAnsi="Times New Roman"/>
          <w:sz w:val="24"/>
        </w:rPr>
      </w:pPr>
      <w:r>
        <w:rPr>
          <w:rFonts w:ascii="Times New Roman" w:hAnsi="Times New Roman"/>
          <w:sz w:val="24"/>
        </w:rPr>
        <w:t>Кеворкова</w:t>
      </w:r>
      <w:r>
        <w:rPr>
          <w:rFonts w:ascii="Times New Roman" w:hAnsi="Times New Roman"/>
          <w:sz w:val="24"/>
        </w:rPr>
        <w:t xml:space="preserve"> Ж. А. Практические основы бухгалтерского учета имущества организации : учебник / Ж. А. </w:t>
      </w:r>
      <w:r>
        <w:rPr>
          <w:rFonts w:ascii="Times New Roman" w:hAnsi="Times New Roman"/>
          <w:sz w:val="24"/>
        </w:rPr>
        <w:t>Кеворкова</w:t>
      </w:r>
      <w:r>
        <w:rPr>
          <w:rFonts w:ascii="Times New Roman" w:hAnsi="Times New Roman"/>
          <w:sz w:val="24"/>
        </w:rPr>
        <w:t xml:space="preserve">, А. М. Петров, Л. А. Мельникова. — Москва : </w:t>
      </w:r>
      <w:r>
        <w:rPr>
          <w:rFonts w:ascii="Times New Roman" w:hAnsi="Times New Roman"/>
          <w:sz w:val="24"/>
        </w:rPr>
        <w:t>Кнорус</w:t>
      </w:r>
      <w:r>
        <w:rPr>
          <w:rFonts w:ascii="Times New Roman" w:hAnsi="Times New Roman"/>
          <w:sz w:val="24"/>
        </w:rPr>
        <w:t>, 2020. — 256 с. — (Среднее профессиональное образование).</w:t>
      </w:r>
    </w:p>
    <w:p w14:paraId="E8020000">
      <w:pPr>
        <w:numPr>
          <w:ilvl w:val="0"/>
          <w:numId w:val="10"/>
        </w:numPr>
        <w:tabs>
          <w:tab w:leader="none" w:pos="1134" w:val="left"/>
        </w:tabs>
        <w:spacing w:line="276" w:lineRule="auto"/>
        <w:ind w:firstLine="709" w:left="0"/>
        <w:contextualSpacing w:val="1"/>
        <w:jc w:val="both"/>
        <w:rPr>
          <w:rFonts w:ascii="Times New Roman" w:hAnsi="Times New Roman"/>
          <w:b w:val="1"/>
          <w:sz w:val="24"/>
        </w:rPr>
      </w:pPr>
      <w:r>
        <w:rPr>
          <w:rFonts w:ascii="Times New Roman" w:hAnsi="Times New Roman"/>
          <w:sz w:val="24"/>
        </w:rPr>
        <w:t>Кеворкова</w:t>
      </w:r>
      <w:r>
        <w:rPr>
          <w:rFonts w:ascii="Times New Roman" w:hAnsi="Times New Roman"/>
          <w:sz w:val="24"/>
        </w:rPr>
        <w:t xml:space="preserve"> Ж. А. Практические основы бухгалтерского учета источников формирования имущества организации : учебник / Ж. А. </w:t>
      </w:r>
      <w:r>
        <w:rPr>
          <w:rFonts w:ascii="Times New Roman" w:hAnsi="Times New Roman"/>
          <w:sz w:val="24"/>
        </w:rPr>
        <w:t>Кеворкова</w:t>
      </w:r>
      <w:r>
        <w:rPr>
          <w:rFonts w:ascii="Times New Roman" w:hAnsi="Times New Roman"/>
          <w:sz w:val="24"/>
        </w:rPr>
        <w:t xml:space="preserve">, Л. А. Мельникова, Е. Н. Домбровская, Т. В. Лесина. — Москва : </w:t>
      </w:r>
      <w:r>
        <w:rPr>
          <w:rFonts w:ascii="Times New Roman" w:hAnsi="Times New Roman"/>
          <w:sz w:val="24"/>
        </w:rPr>
        <w:t>КноРус</w:t>
      </w:r>
      <w:r>
        <w:rPr>
          <w:rFonts w:ascii="Times New Roman" w:hAnsi="Times New Roman"/>
          <w:sz w:val="24"/>
        </w:rPr>
        <w:t>, 2021. — 127 с.</w:t>
      </w:r>
    </w:p>
    <w:p w14:paraId="E9020000">
      <w:pPr>
        <w:numPr>
          <w:ilvl w:val="0"/>
          <w:numId w:val="10"/>
        </w:numPr>
        <w:tabs>
          <w:tab w:leader="none" w:pos="1134" w:val="left"/>
        </w:tabs>
        <w:spacing w:line="276" w:lineRule="auto"/>
        <w:ind w:firstLine="709" w:left="0"/>
        <w:contextualSpacing w:val="1"/>
        <w:jc w:val="both"/>
        <w:rPr>
          <w:rFonts w:ascii="Times New Roman" w:hAnsi="Times New Roman"/>
          <w:sz w:val="24"/>
        </w:rPr>
      </w:pPr>
      <w:r>
        <w:rPr>
          <w:rFonts w:ascii="Times New Roman" w:hAnsi="Times New Roman"/>
          <w:sz w:val="24"/>
        </w:rPr>
        <w:t xml:space="preserve">Захаров И.В. Бухгалтерский учет и анализ : учебник для СПО / И. В. Захаров, О. Н. Калачева ; под редакцией И. М. Дмитриевой. — Москва : Издательство </w:t>
      </w:r>
      <w:r>
        <w:rPr>
          <w:rFonts w:ascii="Times New Roman" w:hAnsi="Times New Roman"/>
          <w:sz w:val="24"/>
        </w:rPr>
        <w:t>Юрайт</w:t>
      </w:r>
      <w:r>
        <w:rPr>
          <w:rFonts w:ascii="Times New Roman" w:hAnsi="Times New Roman"/>
          <w:sz w:val="24"/>
        </w:rPr>
        <w:t>, 2020. — 423 с. — (Профессиональное образование).</w:t>
      </w:r>
    </w:p>
    <w:p w14:paraId="EA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color w:val="000000"/>
          <w:sz w:val="24"/>
          <w:highlight w:val="white"/>
        </w:rPr>
        <w:t xml:space="preserve">Качан, Н. А. Практические основы бухгалтерского учета активов организации : учебное пособие / Н.А. Качан, А.Б. </w:t>
      </w:r>
      <w:r>
        <w:rPr>
          <w:rFonts w:ascii="Times New Roman" w:hAnsi="Times New Roman"/>
          <w:color w:val="000000"/>
          <w:sz w:val="24"/>
          <w:highlight w:val="white"/>
        </w:rPr>
        <w:t>Тресницкий</w:t>
      </w:r>
      <w:r>
        <w:rPr>
          <w:rFonts w:ascii="Times New Roman" w:hAnsi="Times New Roman"/>
          <w:color w:val="000000"/>
          <w:sz w:val="24"/>
          <w:highlight w:val="white"/>
        </w:rPr>
        <w:t>. — 2-е изд., стер. — Москва : ИНФРА-М, 2021. — 541 с. — (Среднее профессиональное образование). — DOI 10.12737/1048802. - ISBN 978-5-16-015742-9. - Текст : электронный. - URL: https://znanium.com/catalog/product/1048802 (дата обращения: 02.08.2023). – Режим доступа: по подписке.</w:t>
      </w:r>
    </w:p>
    <w:p w14:paraId="EB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rPr>
        <w:t>Белова, Л. М. Практические основы бухгалтерского учета активов организации : учебник / Л.М. Белова, О.Р. Кондрашова, Р.С. Никандрова. — Москва : ИНФРА-М, 2022. — 352 с. — (Среднее профессиональное образование). — DOI 10.12737/1003775. - ISBN 978-5-16-014794-9. - Текст : электронный. - URL: https://znanium.com/catalog/product/1872523 (дата обращения: 02.08.2023). – Режим доступа: по подписке.</w:t>
      </w:r>
    </w:p>
    <w:p w14:paraId="EC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rPr>
        <w:t>Кеворкова</w:t>
      </w:r>
      <w:r>
        <w:rPr>
          <w:rFonts w:ascii="Times New Roman" w:hAnsi="Times New Roman"/>
          <w:sz w:val="24"/>
        </w:rPr>
        <w:t xml:space="preserve">, Ж. А., Практические основы бухгалтерского учета имущества организации : учебник / Ж. А. </w:t>
      </w:r>
      <w:r>
        <w:rPr>
          <w:rFonts w:ascii="Times New Roman" w:hAnsi="Times New Roman"/>
          <w:sz w:val="24"/>
        </w:rPr>
        <w:t>Кеворкова</w:t>
      </w:r>
      <w:r>
        <w:rPr>
          <w:rFonts w:ascii="Times New Roman" w:hAnsi="Times New Roman"/>
          <w:sz w:val="24"/>
        </w:rPr>
        <w:t xml:space="preserve">, А. М. Петров, Л. А. Мельникова. — Москва : </w:t>
      </w:r>
      <w:r>
        <w:rPr>
          <w:rFonts w:ascii="Times New Roman" w:hAnsi="Times New Roman"/>
          <w:sz w:val="24"/>
        </w:rPr>
        <w:t>КноРус</w:t>
      </w:r>
      <w:r>
        <w:rPr>
          <w:rFonts w:ascii="Times New Roman" w:hAnsi="Times New Roman"/>
          <w:sz w:val="24"/>
        </w:rPr>
        <w:t>, 2023. — 255 с. — ISBN 978-5-406-11973-0. — URL: https://book.ru/book/950158 (дата обращения: 02.08.2023). — Текст : электронный.</w:t>
      </w:r>
    </w:p>
    <w:p w14:paraId="ED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rPr>
        <w:t>Догучаева</w:t>
      </w:r>
      <w:r>
        <w:rPr>
          <w:rFonts w:ascii="Times New Roman" w:hAnsi="Times New Roman"/>
          <w:sz w:val="24"/>
        </w:rPr>
        <w:t xml:space="preserve">, С. М., Практические основы бухгалтерского учета имущества организации. Практикум. : учебно-практическое пособие / С. М. </w:t>
      </w:r>
      <w:r>
        <w:rPr>
          <w:rFonts w:ascii="Times New Roman" w:hAnsi="Times New Roman"/>
          <w:sz w:val="24"/>
        </w:rPr>
        <w:t>Догучаева</w:t>
      </w:r>
      <w:r>
        <w:rPr>
          <w:rFonts w:ascii="Times New Roman" w:hAnsi="Times New Roman"/>
          <w:sz w:val="24"/>
        </w:rPr>
        <w:t xml:space="preserve">, Ж. А. </w:t>
      </w:r>
      <w:r>
        <w:rPr>
          <w:rFonts w:ascii="Times New Roman" w:hAnsi="Times New Roman"/>
          <w:sz w:val="24"/>
        </w:rPr>
        <w:t>Кеворкова</w:t>
      </w:r>
      <w:r>
        <w:rPr>
          <w:rFonts w:ascii="Times New Roman" w:hAnsi="Times New Roman"/>
          <w:sz w:val="24"/>
        </w:rPr>
        <w:t xml:space="preserve">. — Москва : </w:t>
      </w:r>
      <w:r>
        <w:rPr>
          <w:rFonts w:ascii="Times New Roman" w:hAnsi="Times New Roman"/>
          <w:sz w:val="24"/>
        </w:rPr>
        <w:t>КноРус</w:t>
      </w:r>
      <w:r>
        <w:rPr>
          <w:rFonts w:ascii="Times New Roman" w:hAnsi="Times New Roman"/>
          <w:sz w:val="24"/>
        </w:rPr>
        <w:t>, 2022. — 185 с. — ISBN 978-5-406-09557-7. — URL: https://book.ru/book/943825 (дата обращения: 02.08.2023). — Текст : электронный.</w:t>
      </w:r>
    </w:p>
    <w:p w14:paraId="EE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rPr>
        <w:t>Акатьева, М. Д. Практические основы бухгалтерского учета имущества организации : учебник / М.Д. Акатьева. — Москва : ИНФРА-М, 2022. — 319 с. — (Среднее профессиональное образование). - ISBN 978-5-16-014951-6. - Текст : электронный. - URL: https://znanium.com/catalog/product/1854213 (дата обращения: 02.08.2023). – Режим доступа: по подписке.</w:t>
      </w:r>
    </w:p>
    <w:p w14:paraId="EF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rPr>
        <w:t xml:space="preserve">Петрова, А. Г. Практические основы бухгалтерского учета имущества организации : учебное пособие для СПО / А. Г. Петрова. — Саратов : Профобразование, Ай Пи Ар Медиа, 2020. — 162 c. — ISBN 978-5-4488-0392-5, 978-5-4497-0372-9. — Текст : электронный // Электронный ресурс цифровой образовательной среды СПО </w:t>
      </w:r>
      <w:r>
        <w:rPr>
          <w:rFonts w:ascii="Times New Roman" w:hAnsi="Times New Roman"/>
          <w:sz w:val="24"/>
        </w:rPr>
        <w:t>PROFобразование</w:t>
      </w:r>
      <w:r>
        <w:rPr>
          <w:rFonts w:ascii="Times New Roman" w:hAnsi="Times New Roman"/>
          <w:sz w:val="24"/>
        </w:rPr>
        <w:t xml:space="preserve"> : [сайт]. — URL: https://profspo.ru/books/90002.html</w:t>
      </w:r>
    </w:p>
    <w:p w14:paraId="F0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rPr>
        <w:t>Акатьева, М. Д. Документирование хозяйственных операций и ведение бухгалтерского учета имущества организации : учебник / М.Д. Акатьева. — Москва : ИНФРА-М, 2022. — 242 с. — (Среднее профессиональное образование). — DOI 10.12737/1070199. - ISBN 978-5-16-015928-7. - Текст : электронный. - URL: https://znanium.com/catalog/product/1855470 (дата обращения: 02.08.2023). – Режим доступа: по подписке.</w:t>
      </w:r>
    </w:p>
    <w:p w14:paraId="F1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rPr>
        <w:t xml:space="preserve">Костюкова, Е. И., Документирование хозяйственных операций и ведение бухгалтерского учета активов организации : учебник / Е. И. Костюкова, О. В. Ельчанинова, С. А. </w:t>
      </w:r>
      <w:r>
        <w:rPr>
          <w:rFonts w:ascii="Times New Roman" w:hAnsi="Times New Roman"/>
          <w:sz w:val="24"/>
        </w:rPr>
        <w:t>Тунин</w:t>
      </w:r>
      <w:r>
        <w:rPr>
          <w:rFonts w:ascii="Times New Roman" w:hAnsi="Times New Roman"/>
          <w:sz w:val="24"/>
        </w:rPr>
        <w:t xml:space="preserve">. — Москва : </w:t>
      </w:r>
      <w:r>
        <w:rPr>
          <w:rFonts w:ascii="Times New Roman" w:hAnsi="Times New Roman"/>
          <w:sz w:val="24"/>
        </w:rPr>
        <w:t>КноРус</w:t>
      </w:r>
      <w:r>
        <w:rPr>
          <w:rFonts w:ascii="Times New Roman" w:hAnsi="Times New Roman"/>
          <w:sz w:val="24"/>
        </w:rPr>
        <w:t>, 2023. — 175 с. — ISBN 978-5-406-11818-4. — URL: https://book.ru/book/949738 (дата обращения: 02.08.2023). — Текст : электронный.</w:t>
      </w:r>
    </w:p>
    <w:p w14:paraId="F2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rPr>
        <w:t xml:space="preserve">Доронина О.В. Документирование хозяйственных операций и ведение бухгалтерского учета активов организации. Учебник. – Москва: Издательство Академия, 2020. – 256 с. – </w:t>
      </w:r>
      <w:r>
        <w:rPr>
          <w:rFonts w:ascii="Times New Roman" w:hAnsi="Times New Roman"/>
          <w:sz w:val="24"/>
        </w:rPr>
        <w:t>URL</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HYPERLINK "https://academia-moscow.ru/catalogue/4900/512314/"</w:instrText>
      </w:r>
      <w:r>
        <w:rPr>
          <w:rFonts w:ascii="Times New Roman" w:hAnsi="Times New Roman"/>
          <w:sz w:val="24"/>
        </w:rPr>
        <w:fldChar w:fldCharType="separate"/>
      </w:r>
      <w:r>
        <w:rPr>
          <w:rFonts w:ascii="Times New Roman" w:hAnsi="Times New Roman"/>
          <w:sz w:val="24"/>
        </w:rPr>
        <w:t>https://academia-moscow.ru/catalogue/4900/512314/</w:t>
      </w:r>
      <w:r>
        <w:rPr>
          <w:rFonts w:ascii="Times New Roman" w:hAnsi="Times New Roman"/>
          <w:sz w:val="24"/>
        </w:rPr>
        <w:fldChar w:fldCharType="end"/>
      </w:r>
    </w:p>
    <w:p w14:paraId="F3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highlight w:val="white"/>
        </w:rPr>
        <w:t>Организаци</w:t>
      </w:r>
      <w:r>
        <w:rPr>
          <w:rFonts w:ascii="Times New Roman" w:hAnsi="Times New Roman"/>
          <w:sz w:val="24"/>
          <w:highlight w:val="white"/>
        </w:rPr>
        <w:t>я </w:t>
      </w:r>
      <w:r>
        <w:rPr>
          <w:rFonts w:ascii="Times New Roman" w:hAnsi="Times New Roman"/>
          <w:sz w:val="24"/>
          <w:highlight w:val="white"/>
        </w:rPr>
        <w:t>расчет</w:t>
      </w:r>
      <w:r>
        <w:rPr>
          <w:rFonts w:ascii="Times New Roman" w:hAnsi="Times New Roman"/>
          <w:sz w:val="24"/>
          <w:highlight w:val="white"/>
        </w:rPr>
        <w:t>ов с </w:t>
      </w:r>
      <w:r>
        <w:rPr>
          <w:rFonts w:ascii="Times New Roman" w:hAnsi="Times New Roman"/>
          <w:sz w:val="24"/>
          <w:highlight w:val="white"/>
        </w:rPr>
        <w:t>бюджет</w:t>
      </w:r>
      <w:r>
        <w:rPr>
          <w:rFonts w:ascii="Times New Roman" w:hAnsi="Times New Roman"/>
          <w:sz w:val="24"/>
          <w:highlight w:val="white"/>
        </w:rPr>
        <w:t>ами </w:t>
      </w:r>
      <w:r>
        <w:rPr>
          <w:rFonts w:ascii="Times New Roman" w:hAnsi="Times New Roman"/>
          <w:sz w:val="24"/>
          <w:highlight w:val="white"/>
        </w:rPr>
        <w:t>бюджет</w:t>
      </w:r>
      <w:r>
        <w:rPr>
          <w:rFonts w:ascii="Times New Roman" w:hAnsi="Times New Roman"/>
          <w:sz w:val="24"/>
          <w:highlight w:val="white"/>
        </w:rPr>
        <w:t xml:space="preserve">ной системы Российской Федерации [Текст] : учебное пособие : для студентов СПО специальности «Экономика и бухгалтерский учет (по отраслям)» / Н. А. Качан, А. Б. </w:t>
      </w:r>
      <w:r>
        <w:rPr>
          <w:rFonts w:ascii="Times New Roman" w:hAnsi="Times New Roman"/>
          <w:sz w:val="24"/>
          <w:highlight w:val="white"/>
        </w:rPr>
        <w:t>Тресницкий</w:t>
      </w:r>
      <w:r>
        <w:rPr>
          <w:rFonts w:ascii="Times New Roman" w:hAnsi="Times New Roman"/>
          <w:sz w:val="24"/>
          <w:highlight w:val="white"/>
        </w:rPr>
        <w:t xml:space="preserve"> ; АНО ВО «Белгородский университет кооперации, экономики и права». - Белгород : Изд-во БУКЭП, 2022. - 108 с.</w:t>
      </w:r>
    </w:p>
    <w:p w14:paraId="F4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highlight w:val="white"/>
        </w:rPr>
        <w:t>Кеворкова</w:t>
      </w:r>
      <w:r>
        <w:rPr>
          <w:rFonts w:ascii="Times New Roman" w:hAnsi="Times New Roman"/>
          <w:sz w:val="24"/>
          <w:highlight w:val="white"/>
        </w:rPr>
        <w:t xml:space="preserve">, Ж. А., Проведение расчетов с бюджетом и внебюджетными фондами : учебник / Ж. А. </w:t>
      </w:r>
      <w:r>
        <w:rPr>
          <w:rFonts w:ascii="Times New Roman" w:hAnsi="Times New Roman"/>
          <w:sz w:val="24"/>
          <w:highlight w:val="white"/>
        </w:rPr>
        <w:t>Кеворкова</w:t>
      </w:r>
      <w:r>
        <w:rPr>
          <w:rFonts w:ascii="Times New Roman" w:hAnsi="Times New Roman"/>
          <w:sz w:val="24"/>
          <w:highlight w:val="white"/>
        </w:rPr>
        <w:t xml:space="preserve">, Л. А. Мельникова, Е. Н. Домбровская. — Москва : </w:t>
      </w:r>
      <w:r>
        <w:rPr>
          <w:rFonts w:ascii="Times New Roman" w:hAnsi="Times New Roman"/>
          <w:sz w:val="24"/>
          <w:highlight w:val="white"/>
        </w:rPr>
        <w:t>КноРус</w:t>
      </w:r>
      <w:r>
        <w:rPr>
          <w:rFonts w:ascii="Times New Roman" w:hAnsi="Times New Roman"/>
          <w:sz w:val="24"/>
          <w:highlight w:val="white"/>
        </w:rPr>
        <w:t>, 2023. — 197 с. — ISBN 978-5-406-11291-5. — URL: https://book.ru/book/948619 (дата обращения: 02.08.2023). — Текст : электронный.</w:t>
      </w:r>
    </w:p>
    <w:p w14:paraId="F5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highlight w:val="white"/>
        </w:rPr>
        <w:t xml:space="preserve">Каурова, О. В., Проведение расчетов с бюджетом и внебюджетными фондами : учебник / О. В. Каурова, А. Н. </w:t>
      </w:r>
      <w:r>
        <w:rPr>
          <w:rFonts w:ascii="Times New Roman" w:hAnsi="Times New Roman"/>
          <w:sz w:val="24"/>
          <w:highlight w:val="white"/>
        </w:rPr>
        <w:t>Малолетко</w:t>
      </w:r>
      <w:r>
        <w:rPr>
          <w:rFonts w:ascii="Times New Roman" w:hAnsi="Times New Roman"/>
          <w:sz w:val="24"/>
          <w:highlight w:val="white"/>
        </w:rPr>
        <w:t xml:space="preserve">, О. В. Шинкарева. — Москва : </w:t>
      </w:r>
      <w:r>
        <w:rPr>
          <w:rFonts w:ascii="Times New Roman" w:hAnsi="Times New Roman"/>
          <w:sz w:val="24"/>
          <w:highlight w:val="white"/>
        </w:rPr>
        <w:t>КноРус</w:t>
      </w:r>
      <w:r>
        <w:rPr>
          <w:rFonts w:ascii="Times New Roman" w:hAnsi="Times New Roman"/>
          <w:sz w:val="24"/>
          <w:highlight w:val="white"/>
        </w:rPr>
        <w:t>, 2023. — 219 с. — ISBN 978-5-406-11414-8. — URL: https://book.ru/book/948881 (дата обращения: 02.08.2023). — Текст : электронный.</w:t>
      </w:r>
    </w:p>
    <w:p w14:paraId="F6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rPr>
        <w:t xml:space="preserve">Бобрышев, А. Н., Проведение расчетов с бюджетом и внебюджетными фондами : учебное пособие / А. Н. Бобрышев, В. С. Германова, Ю. А. </w:t>
      </w:r>
      <w:r>
        <w:rPr>
          <w:rFonts w:ascii="Times New Roman" w:hAnsi="Times New Roman"/>
          <w:sz w:val="24"/>
        </w:rPr>
        <w:t>Цисельская</w:t>
      </w:r>
      <w:r>
        <w:rPr>
          <w:rFonts w:ascii="Times New Roman" w:hAnsi="Times New Roman"/>
          <w:sz w:val="24"/>
        </w:rPr>
        <w:t xml:space="preserve">. — Москва : </w:t>
      </w:r>
      <w:r>
        <w:rPr>
          <w:rFonts w:ascii="Times New Roman" w:hAnsi="Times New Roman"/>
          <w:sz w:val="24"/>
        </w:rPr>
        <w:t>КноРус</w:t>
      </w:r>
      <w:r>
        <w:rPr>
          <w:rFonts w:ascii="Times New Roman" w:hAnsi="Times New Roman"/>
          <w:sz w:val="24"/>
        </w:rPr>
        <w:t>, 2022. — 385 с. — ISBN 978-5-406-09705-2. — URL: https://book.ru/book/944112 (дата обращения: 02.08.2023). — Текст : электронный.</w:t>
      </w:r>
    </w:p>
    <w:p w14:paraId="F7020000">
      <w:pPr>
        <w:numPr>
          <w:ilvl w:val="0"/>
          <w:numId w:val="10"/>
        </w:numPr>
        <w:tabs>
          <w:tab w:leader="none" w:pos="993" w:val="left"/>
        </w:tabs>
        <w:ind w:firstLine="709" w:left="0"/>
        <w:contextualSpacing w:val="1"/>
        <w:jc w:val="both"/>
        <w:rPr>
          <w:rFonts w:ascii="Times New Roman" w:hAnsi="Times New Roman"/>
          <w:b w:val="1"/>
          <w:sz w:val="24"/>
        </w:rPr>
      </w:pPr>
      <w:r>
        <w:rPr>
          <w:rFonts w:ascii="Times New Roman" w:hAnsi="Times New Roman"/>
          <w:sz w:val="24"/>
          <w:highlight w:val="white"/>
        </w:rPr>
        <w:t xml:space="preserve">Усачева, О. В. Практические основы бухгалтерского учета имущества и источников его формирования в организации : учебное пособие / О. В. Усачева. - Новосибирск : Изд-во НГТУ, 2019. - 331 с. - ISBN 978-5-7782-4081-0. - Текст : электронный. - URL: https://znanium.com/catalog/product/1870328 (дата обращения: 05.09.2023). – </w:t>
      </w:r>
      <w:r>
        <w:rPr>
          <w:rFonts w:ascii="Times New Roman" w:hAnsi="Times New Roman"/>
          <w:sz w:val="24"/>
          <w:highlight w:val="white"/>
        </w:rPr>
        <w:t>Текст : электронный.</w:t>
      </w:r>
    </w:p>
    <w:p w14:paraId="F8020000">
      <w:pPr>
        <w:pStyle w:val="Style_11"/>
        <w:spacing w:line="276" w:lineRule="auto"/>
        <w:ind w:firstLine="709" w:left="0"/>
        <w:jc w:val="both"/>
        <w:rPr>
          <w:rFonts w:ascii="Times New Roman" w:hAnsi="Times New Roman"/>
          <w:sz w:val="24"/>
        </w:rPr>
      </w:pPr>
    </w:p>
    <w:p w14:paraId="F9020000">
      <w:pPr>
        <w:spacing w:line="276" w:lineRule="auto"/>
        <w:ind w:firstLine="709" w:left="0"/>
        <w:contextualSpacing w:val="1"/>
        <w:rPr>
          <w:rFonts w:ascii="Times New Roman" w:hAnsi="Times New Roman"/>
          <w:i w:val="1"/>
          <w:sz w:val="24"/>
        </w:rPr>
      </w:pPr>
      <w:r>
        <w:rPr>
          <w:rFonts w:ascii="Times New Roman" w:hAnsi="Times New Roman"/>
          <w:b w:val="1"/>
          <w:sz w:val="24"/>
        </w:rPr>
        <w:t xml:space="preserve">3.2.2. Дополнительные источники </w:t>
      </w:r>
      <w:r>
        <w:rPr>
          <w:rFonts w:ascii="Times New Roman" w:hAnsi="Times New Roman"/>
          <w:i w:val="1"/>
          <w:sz w:val="24"/>
        </w:rPr>
        <w:t>(при необходимости)</w:t>
      </w:r>
    </w:p>
    <w:p w14:paraId="FA020000">
      <w:pPr>
        <w:numPr>
          <w:ilvl w:val="0"/>
          <w:numId w:val="11"/>
        </w:numPr>
        <w:tabs>
          <w:tab w:leader="none" w:pos="1134" w:val="left"/>
        </w:tabs>
        <w:ind w:firstLine="709" w:left="0"/>
        <w:contextualSpacing w:val="1"/>
        <w:jc w:val="both"/>
        <w:rPr>
          <w:rFonts w:ascii="Times New Roman" w:hAnsi="Times New Roman"/>
          <w:b w:val="1"/>
          <w:sz w:val="24"/>
        </w:rPr>
      </w:pPr>
      <w:r>
        <w:rPr>
          <w:rFonts w:ascii="Times New Roman" w:hAnsi="Times New Roman"/>
          <w:sz w:val="24"/>
        </w:rPr>
        <w:t>Елицур</w:t>
      </w:r>
      <w:r>
        <w:rPr>
          <w:rFonts w:ascii="Times New Roman" w:hAnsi="Times New Roman"/>
          <w:sz w:val="24"/>
        </w:rPr>
        <w:t xml:space="preserve">, М. Ю. Экономика и бухгалтерский учет. Профессиональные модули : учебник / М.Ю. </w:t>
      </w:r>
      <w:r>
        <w:rPr>
          <w:rFonts w:ascii="Times New Roman" w:hAnsi="Times New Roman"/>
          <w:sz w:val="24"/>
        </w:rPr>
        <w:t>Елицур</w:t>
      </w:r>
      <w:r>
        <w:rPr>
          <w:rFonts w:ascii="Times New Roman" w:hAnsi="Times New Roman"/>
          <w:sz w:val="24"/>
        </w:rPr>
        <w:t>, О.М. Носова, М.В. Фролова. — Москва : ФОРУМ : ИНФРА-М, 2023. — 200 с. — (</w:t>
      </w:r>
      <w:r>
        <w:rPr>
          <w:rFonts w:ascii="Times New Roman" w:hAnsi="Times New Roman"/>
          <w:sz w:val="24"/>
        </w:rPr>
        <w:t>Cреднее</w:t>
      </w:r>
      <w:r>
        <w:rPr>
          <w:rFonts w:ascii="Times New Roman" w:hAnsi="Times New Roman"/>
          <w:sz w:val="24"/>
        </w:rPr>
        <w:t xml:space="preserve"> профессиональное образование). — DOI 10.12737/23883. - ISBN 978-5-00091-417-5. - Текст : электронный. - URL: https://znanium.com/catalog/product/1931475 (дата обращения: 02.08.2023). – Режим доступа: по подписке.</w:t>
      </w:r>
    </w:p>
    <w:p w14:paraId="FB02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Захаров, И. В. Бухгалтерский учет и анализ : учебник для среднего профессионального образования / И. В. Захаров, О. Н. Тарасова ; под редакцией И. М. Дмитриевой. — Москва : Издательство </w:t>
      </w:r>
      <w:r>
        <w:rPr>
          <w:rFonts w:ascii="Times New Roman" w:hAnsi="Times New Roman"/>
          <w:sz w:val="24"/>
        </w:rPr>
        <w:t>Юрайт</w:t>
      </w:r>
      <w:r>
        <w:rPr>
          <w:rFonts w:ascii="Times New Roman" w:hAnsi="Times New Roman"/>
          <w:sz w:val="24"/>
        </w:rPr>
        <w:t xml:space="preserve">, 2022. — 423 с. — (Профессиональное образование). — ISBN 978-5-534-02594-1. — Текст : электронный // Образовательная платформа </w:t>
      </w:r>
      <w:r>
        <w:rPr>
          <w:rFonts w:ascii="Times New Roman" w:hAnsi="Times New Roman"/>
          <w:sz w:val="24"/>
        </w:rPr>
        <w:t>Юрайт</w:t>
      </w:r>
      <w:r>
        <w:rPr>
          <w:rFonts w:ascii="Times New Roman" w:hAnsi="Times New Roman"/>
          <w:sz w:val="24"/>
        </w:rPr>
        <w:t xml:space="preserve"> [сайт]. — URL: https://urait.ru/bcode/489863 (дата обращения: 03.05.2022).</w:t>
      </w:r>
    </w:p>
    <w:p w14:paraId="FC02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Бухгалтерский учет / А.И. </w:t>
      </w:r>
      <w:r>
        <w:rPr>
          <w:rFonts w:ascii="Times New Roman" w:hAnsi="Times New Roman"/>
          <w:sz w:val="24"/>
        </w:rPr>
        <w:t>Гомола</w:t>
      </w:r>
      <w:r>
        <w:rPr>
          <w:rFonts w:ascii="Times New Roman" w:hAnsi="Times New Roman"/>
          <w:sz w:val="24"/>
        </w:rPr>
        <w:t xml:space="preserve">, В.Е. Кириллов, С.В. Кириллов – Москва: Академия, 2020. – 480 с. – </w:t>
      </w:r>
      <w:r>
        <w:rPr>
          <w:rFonts w:ascii="Times New Roman" w:hAnsi="Times New Roman"/>
          <w:sz w:val="24"/>
        </w:rPr>
        <w:t>URL</w:t>
      </w:r>
      <w:r>
        <w:rPr>
          <w:rFonts w:ascii="Times New Roman" w:hAnsi="Times New Roman"/>
          <w:sz w:val="24"/>
        </w:rPr>
        <w:t>: https://academia-moscow.ru/catalogue/4899/472922/</w:t>
      </w:r>
    </w:p>
    <w:p w14:paraId="FD02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Дмитриева, И. М. Бухгалтерский учет : учебник и практикум для среднего профессионального образования / И. М. Дмитриева. — 6-е изд., </w:t>
      </w:r>
      <w:r>
        <w:rPr>
          <w:rFonts w:ascii="Times New Roman" w:hAnsi="Times New Roman"/>
          <w:sz w:val="24"/>
        </w:rPr>
        <w:t>перераб</w:t>
      </w:r>
      <w:r>
        <w:rPr>
          <w:rFonts w:ascii="Times New Roman" w:hAnsi="Times New Roman"/>
          <w:sz w:val="24"/>
        </w:rPr>
        <w:t xml:space="preserve">. и доп. — Москва : Издательство </w:t>
      </w:r>
      <w:r>
        <w:rPr>
          <w:rFonts w:ascii="Times New Roman" w:hAnsi="Times New Roman"/>
          <w:sz w:val="24"/>
        </w:rPr>
        <w:t>Юрайт</w:t>
      </w:r>
      <w:r>
        <w:rPr>
          <w:rFonts w:ascii="Times New Roman" w:hAnsi="Times New Roman"/>
          <w:sz w:val="24"/>
        </w:rPr>
        <w:t xml:space="preserve">, 2022. — 319 с. — (Профессиональное образование). — ISBN 978-5-534-13850-4. — Текст : электронный // Образовательная платформа </w:t>
      </w:r>
      <w:r>
        <w:rPr>
          <w:rFonts w:ascii="Times New Roman" w:hAnsi="Times New Roman"/>
          <w:sz w:val="24"/>
        </w:rPr>
        <w:t>Юрайт</w:t>
      </w:r>
      <w:r>
        <w:rPr>
          <w:rFonts w:ascii="Times New Roman" w:hAnsi="Times New Roman"/>
          <w:sz w:val="24"/>
        </w:rPr>
        <w:t xml:space="preserve"> [сайт]. — URL: https://urait.ru/bcode/489595 (дата обращения: 03.05.2022).</w:t>
      </w:r>
    </w:p>
    <w:p w14:paraId="FE02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Бухгалтерский финансовый учет : учебник для среднего профессионального образования / Л. В. Бухарева [и др.] ; под редакцией И. М. Дмитриевой, В. Б. Малицкой, Ю. К. </w:t>
      </w:r>
      <w:r>
        <w:rPr>
          <w:rFonts w:ascii="Times New Roman" w:hAnsi="Times New Roman"/>
          <w:sz w:val="24"/>
        </w:rPr>
        <w:t>Харакоз</w:t>
      </w:r>
      <w:r>
        <w:rPr>
          <w:rFonts w:ascii="Times New Roman" w:hAnsi="Times New Roman"/>
          <w:sz w:val="24"/>
        </w:rPr>
        <w:t xml:space="preserve">. — 5-е изд., </w:t>
      </w:r>
      <w:r>
        <w:rPr>
          <w:rFonts w:ascii="Times New Roman" w:hAnsi="Times New Roman"/>
          <w:sz w:val="24"/>
        </w:rPr>
        <w:t>перераб</w:t>
      </w:r>
      <w:r>
        <w:rPr>
          <w:rFonts w:ascii="Times New Roman" w:hAnsi="Times New Roman"/>
          <w:sz w:val="24"/>
        </w:rPr>
        <w:t xml:space="preserve">. и доп. — Москва : Издательство </w:t>
      </w:r>
      <w:r>
        <w:rPr>
          <w:rFonts w:ascii="Times New Roman" w:hAnsi="Times New Roman"/>
          <w:sz w:val="24"/>
        </w:rPr>
        <w:t>Юрайт</w:t>
      </w:r>
      <w:r>
        <w:rPr>
          <w:rFonts w:ascii="Times New Roman" w:hAnsi="Times New Roman"/>
          <w:sz w:val="24"/>
        </w:rPr>
        <w:t xml:space="preserve">, 2022. — 528 с. — (Профессиональное образование). — ISBN 978-5-534-15066-7. — Текст : электронный // Образовательная платформа </w:t>
      </w:r>
      <w:r>
        <w:rPr>
          <w:rFonts w:ascii="Times New Roman" w:hAnsi="Times New Roman"/>
          <w:sz w:val="24"/>
        </w:rPr>
        <w:t>Юрайт</w:t>
      </w:r>
      <w:r>
        <w:rPr>
          <w:rFonts w:ascii="Times New Roman" w:hAnsi="Times New Roman"/>
          <w:sz w:val="24"/>
        </w:rPr>
        <w:t xml:space="preserve"> [сайт]. — URL: https://urait.ru/bcode/495751 (дата обращения: 03.05.2022).</w:t>
      </w:r>
    </w:p>
    <w:p w14:paraId="FF02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Бурмистрова, Л. М. Бухгалтерский учет : учебное пособие / Л.М. Бурмистрова. — 4-е изд., </w:t>
      </w:r>
      <w:r>
        <w:rPr>
          <w:rFonts w:ascii="Times New Roman" w:hAnsi="Times New Roman"/>
          <w:sz w:val="24"/>
        </w:rPr>
        <w:t>перераб</w:t>
      </w:r>
      <w:r>
        <w:rPr>
          <w:rFonts w:ascii="Times New Roman" w:hAnsi="Times New Roman"/>
          <w:sz w:val="24"/>
        </w:rPr>
        <w:t>. и доп. — Москва : ИНФРА-М, 2022. — 304 с. — (Среднее профессиональное образование). — DOI 10.12737/1045886. - ISBN 978-5-16-015682-8. - Текст : электронный. - URL: https://znanium.com/catalog/product/1843263 (дата обращения: 02.08.2023). – Режим доступа: по подписке.</w:t>
      </w:r>
    </w:p>
    <w:p w14:paraId="0003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Бухгалтерский учет в коммерческих организациях : учебное пособие / М.В. Мельник, С.Е. Егорова, Н.Г. Кулакова, Л.А. Юданова. — Москва : ФОРУМ : ИНФРА-М, 2022. — 479 с. — (Среднее профессиональное образование). - ISBN 978-5-00091-759-6. - Текст : электронный. - URL: https://znanium.com/catalog/product/1663022 (дата обращения: 02.08.2023). – Режим доступа: по подписке.</w:t>
      </w:r>
    </w:p>
    <w:p w14:paraId="0103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Лытнева</w:t>
      </w:r>
      <w:r>
        <w:rPr>
          <w:rFonts w:ascii="Times New Roman" w:hAnsi="Times New Roman"/>
          <w:sz w:val="24"/>
        </w:rPr>
        <w:t xml:space="preserve">, Н. А. Бухгалтерский учет : учебник / Н.А. </w:t>
      </w:r>
      <w:r>
        <w:rPr>
          <w:rFonts w:ascii="Times New Roman" w:hAnsi="Times New Roman"/>
          <w:sz w:val="24"/>
        </w:rPr>
        <w:t>Лытнева</w:t>
      </w:r>
      <w:r>
        <w:rPr>
          <w:rFonts w:ascii="Times New Roman" w:hAnsi="Times New Roman"/>
          <w:sz w:val="24"/>
        </w:rPr>
        <w:t xml:space="preserve">, Л.И. Малявкина, Т.В. Федорова. — 2-е изд., </w:t>
      </w:r>
      <w:r>
        <w:rPr>
          <w:rFonts w:ascii="Times New Roman" w:hAnsi="Times New Roman"/>
          <w:sz w:val="24"/>
        </w:rPr>
        <w:t>перераб</w:t>
      </w:r>
      <w:r>
        <w:rPr>
          <w:rFonts w:ascii="Times New Roman" w:hAnsi="Times New Roman"/>
          <w:sz w:val="24"/>
        </w:rPr>
        <w:t>. и доп. — Москва : ФОРУМ : ИНФРА-М, 2021. — 512 с. — (Профессиональное образование). - ISBN 978-5-8199-0544-9. - Текст : электронный. - URL: https://znanium.com/catalog/product/1141780 (дата обращения: 02.08.2023). – Режим доступа: по подписке.</w:t>
      </w:r>
    </w:p>
    <w:p w14:paraId="0203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Миршук</w:t>
      </w:r>
      <w:r>
        <w:rPr>
          <w:rFonts w:ascii="Times New Roman" w:hAnsi="Times New Roman"/>
          <w:sz w:val="24"/>
        </w:rPr>
        <w:t xml:space="preserve">, Т. В. Бухгалтерский учет: теория и практика : учебник / Т.В. </w:t>
      </w:r>
      <w:r>
        <w:rPr>
          <w:rFonts w:ascii="Times New Roman" w:hAnsi="Times New Roman"/>
          <w:sz w:val="24"/>
        </w:rPr>
        <w:t>Миршук</w:t>
      </w:r>
      <w:r>
        <w:rPr>
          <w:rFonts w:ascii="Times New Roman" w:hAnsi="Times New Roman"/>
          <w:sz w:val="24"/>
        </w:rPr>
        <w:t>. — Москва : ИНФРА-М, 2023. — 182 с. — (Среднее профессиональное образование). — DOI 10.12737/1018057. - ISBN 978-5-16-015121-2. - Текст : электронный. - URL: https://znanium.com/catalog/product/1926391 (дата обращения: 02.08.2023). – Режим доступа: по подписке.</w:t>
      </w:r>
    </w:p>
    <w:p w14:paraId="0303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highlight w:val="white"/>
        </w:rPr>
        <w:t>Пансков</w:t>
      </w:r>
      <w:r>
        <w:rPr>
          <w:rFonts w:ascii="Times New Roman" w:hAnsi="Times New Roman"/>
          <w:sz w:val="24"/>
          <w:highlight w:val="white"/>
        </w:rPr>
        <w:t>, В. Г. Налоги и налогообложение : учебник и практикум для среднего профессионального образования / В. Г. </w:t>
      </w:r>
      <w:r>
        <w:rPr>
          <w:rFonts w:ascii="Times New Roman" w:hAnsi="Times New Roman"/>
          <w:sz w:val="24"/>
          <w:highlight w:val="white"/>
        </w:rPr>
        <w:t>Пансков</w:t>
      </w:r>
      <w:r>
        <w:rPr>
          <w:rFonts w:ascii="Times New Roman" w:hAnsi="Times New Roman"/>
          <w:sz w:val="24"/>
          <w:highlight w:val="white"/>
        </w:rPr>
        <w:t xml:space="preserve">. — 7-е изд., </w:t>
      </w:r>
      <w:r>
        <w:rPr>
          <w:rFonts w:ascii="Times New Roman" w:hAnsi="Times New Roman"/>
          <w:sz w:val="24"/>
          <w:highlight w:val="white"/>
        </w:rPr>
        <w:t>перераб</w:t>
      </w:r>
      <w:r>
        <w:rPr>
          <w:rFonts w:ascii="Times New Roman" w:hAnsi="Times New Roman"/>
          <w:sz w:val="24"/>
          <w:highlight w:val="white"/>
        </w:rPr>
        <w:t xml:space="preserve">. и доп. — Москва : Издательство </w:t>
      </w:r>
      <w:r>
        <w:rPr>
          <w:rFonts w:ascii="Times New Roman" w:hAnsi="Times New Roman"/>
          <w:sz w:val="24"/>
          <w:highlight w:val="white"/>
        </w:rPr>
        <w:t>Юрайт</w:t>
      </w:r>
      <w:r>
        <w:rPr>
          <w:rFonts w:ascii="Times New Roman" w:hAnsi="Times New Roman"/>
          <w:sz w:val="24"/>
          <w:highlight w:val="white"/>
        </w:rPr>
        <w:t xml:space="preserve">, 2021. — 472 с. — (Профессиональное образование). — ISBN 978-5-534-13209-0. — Текст : электронный // ЭБС </w:t>
      </w:r>
      <w:r>
        <w:rPr>
          <w:rFonts w:ascii="Times New Roman" w:hAnsi="Times New Roman"/>
          <w:sz w:val="24"/>
          <w:highlight w:val="white"/>
        </w:rPr>
        <w:t>Юрайт</w:t>
      </w:r>
      <w:r>
        <w:rPr>
          <w:rFonts w:ascii="Times New Roman" w:hAnsi="Times New Roman"/>
          <w:sz w:val="24"/>
          <w:highlight w:val="white"/>
        </w:rPr>
        <w:t xml:space="preserve"> [сайт]. — URL: </w:t>
      </w:r>
      <w:r>
        <w:rPr>
          <w:rFonts w:ascii="Times New Roman" w:hAnsi="Times New Roman"/>
          <w:sz w:val="24"/>
          <w:highlight w:val="white"/>
        </w:rPr>
        <w:fldChar w:fldCharType="begin"/>
      </w:r>
      <w:r>
        <w:rPr>
          <w:rFonts w:ascii="Times New Roman" w:hAnsi="Times New Roman"/>
          <w:sz w:val="24"/>
          <w:highlight w:val="white"/>
        </w:rPr>
        <w:instrText>HYPERLINK "https://urait.ru/bcode/469427"</w:instrText>
      </w:r>
      <w:r>
        <w:rPr>
          <w:rFonts w:ascii="Times New Roman" w:hAnsi="Times New Roman"/>
          <w:sz w:val="24"/>
          <w:highlight w:val="white"/>
        </w:rPr>
        <w:fldChar w:fldCharType="separate"/>
      </w:r>
      <w:r>
        <w:rPr>
          <w:rFonts w:ascii="Times New Roman" w:hAnsi="Times New Roman"/>
          <w:sz w:val="24"/>
          <w:highlight w:val="white"/>
        </w:rPr>
        <w:t>https://urait.ru/bcode/469427</w:t>
      </w:r>
      <w:r>
        <w:rPr>
          <w:rFonts w:ascii="Times New Roman" w:hAnsi="Times New Roman"/>
          <w:sz w:val="24"/>
          <w:highlight w:val="white"/>
        </w:rPr>
        <w:fldChar w:fldCharType="end"/>
      </w:r>
      <w:r>
        <w:rPr>
          <w:rFonts w:ascii="Times New Roman" w:hAnsi="Times New Roman"/>
          <w:sz w:val="24"/>
          <w:highlight w:val="white"/>
        </w:rPr>
        <w:t xml:space="preserve"> </w:t>
      </w:r>
    </w:p>
    <w:p w14:paraId="0403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highlight w:val="white"/>
        </w:rPr>
        <w:t xml:space="preserve">Налоги и налогообложение : учебник и практикум для среднего профессионального образования / Г. Б. Поляк [и др.] ; ответственный редактор Г. Б. Поляк, Е. Е. Смирнова. — 4-е изд., </w:t>
      </w:r>
      <w:r>
        <w:rPr>
          <w:rFonts w:ascii="Times New Roman" w:hAnsi="Times New Roman"/>
          <w:sz w:val="24"/>
          <w:highlight w:val="white"/>
        </w:rPr>
        <w:t>перераб</w:t>
      </w:r>
      <w:r>
        <w:rPr>
          <w:rFonts w:ascii="Times New Roman" w:hAnsi="Times New Roman"/>
          <w:sz w:val="24"/>
          <w:highlight w:val="white"/>
        </w:rPr>
        <w:t xml:space="preserve">. и доп. — Москва : Издательство </w:t>
      </w:r>
      <w:r>
        <w:rPr>
          <w:rFonts w:ascii="Times New Roman" w:hAnsi="Times New Roman"/>
          <w:sz w:val="24"/>
          <w:highlight w:val="white"/>
        </w:rPr>
        <w:t>Юрайт</w:t>
      </w:r>
      <w:r>
        <w:rPr>
          <w:rFonts w:ascii="Times New Roman" w:hAnsi="Times New Roman"/>
          <w:sz w:val="24"/>
          <w:highlight w:val="white"/>
        </w:rPr>
        <w:t xml:space="preserve">, 2021. — 380 с. — (Профессиональное образование). — ISBN 978-5-534-14544-1. — Текст : электронный // ЭБС </w:t>
      </w:r>
      <w:r>
        <w:rPr>
          <w:rFonts w:ascii="Times New Roman" w:hAnsi="Times New Roman"/>
          <w:sz w:val="24"/>
          <w:highlight w:val="white"/>
        </w:rPr>
        <w:t>Юрайт</w:t>
      </w:r>
      <w:r>
        <w:rPr>
          <w:rFonts w:ascii="Times New Roman" w:hAnsi="Times New Roman"/>
          <w:sz w:val="24"/>
          <w:highlight w:val="white"/>
        </w:rPr>
        <w:t xml:space="preserve"> [сайт]. — URL: </w:t>
      </w:r>
      <w:r>
        <w:rPr>
          <w:rFonts w:ascii="Times New Roman" w:hAnsi="Times New Roman"/>
          <w:sz w:val="24"/>
          <w:highlight w:val="white"/>
        </w:rPr>
        <w:fldChar w:fldCharType="begin"/>
      </w:r>
      <w:r>
        <w:rPr>
          <w:rFonts w:ascii="Times New Roman" w:hAnsi="Times New Roman"/>
          <w:sz w:val="24"/>
          <w:highlight w:val="white"/>
        </w:rPr>
        <w:instrText>HYPERLINK "https://urait.ru/bcode/477927"</w:instrText>
      </w:r>
      <w:r>
        <w:rPr>
          <w:rFonts w:ascii="Times New Roman" w:hAnsi="Times New Roman"/>
          <w:sz w:val="24"/>
          <w:highlight w:val="white"/>
        </w:rPr>
        <w:fldChar w:fldCharType="separate"/>
      </w:r>
      <w:r>
        <w:rPr>
          <w:rFonts w:ascii="Times New Roman" w:hAnsi="Times New Roman"/>
          <w:sz w:val="24"/>
          <w:highlight w:val="white"/>
        </w:rPr>
        <w:t>https://urait.ru/bcode/477927</w:t>
      </w:r>
      <w:r>
        <w:rPr>
          <w:rFonts w:ascii="Times New Roman" w:hAnsi="Times New Roman"/>
          <w:sz w:val="24"/>
          <w:highlight w:val="white"/>
        </w:rPr>
        <w:fldChar w:fldCharType="end"/>
      </w:r>
      <w:r>
        <w:rPr>
          <w:rFonts w:ascii="Times New Roman" w:hAnsi="Times New Roman"/>
          <w:sz w:val="24"/>
          <w:highlight w:val="white"/>
        </w:rPr>
        <w:t> </w:t>
      </w:r>
    </w:p>
    <w:p w14:paraId="05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Конституция Российской Федерации от 12.12.1993 (действующая редакция);</w:t>
      </w:r>
    </w:p>
    <w:p w14:paraId="06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Бюджетный кодекс Российской Федерации от 31.07.1998 № 145-ФЗ (действующая редакция);</w:t>
      </w:r>
    </w:p>
    <w:p w14:paraId="07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Гражданский кодекс Российской Федерации в 4 частях (действующая редакция);</w:t>
      </w:r>
    </w:p>
    <w:p w14:paraId="08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Кодекс Российской Федерации об административных правонарушениях от 30.12.2001 № 195-ФЗ (действующая редакция);</w:t>
      </w:r>
    </w:p>
    <w:p w14:paraId="09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Налоговый кодекс Российской Федерации в 2 частях (действующая редакция);</w:t>
      </w:r>
    </w:p>
    <w:p w14:paraId="0A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Таможенный кодекс Таможенного союза (действующая редакция);</w:t>
      </w:r>
    </w:p>
    <w:p w14:paraId="0B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Трудовой кодекс Российской Федерации от 30.12.2001 № 197-ФЗ (действующая редакция);</w:t>
      </w:r>
    </w:p>
    <w:p w14:paraId="0C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Уголовный кодекс Российской Федерации от 13.06.1996 № 63-ФЗ (действующая редакция);</w:t>
      </w:r>
    </w:p>
    <w:p w14:paraId="0D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24.07.1998 № 125-ФЗ (действующая редакция) «Об обязательном социальном страховании от несчастных случаев на производстве и профессиональных заболеваний»;</w:t>
      </w:r>
    </w:p>
    <w:p w14:paraId="0E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07.08.2001 № 115-ФЗ (действующая редакция) «О противодействии легализации (отмыванию) доходов, полученных преступным путем, и финансированию терроризма»;</w:t>
      </w:r>
    </w:p>
    <w:p w14:paraId="0F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15.12.2001 № 167-ФЗ (действующая редакция) «Об обязательном пенсионном страховании в Российской Федерации»;</w:t>
      </w:r>
    </w:p>
    <w:p w14:paraId="10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26.10.2002 № 127-ФЗ (действующая редакция) «О несостоятельности (банкротстве);</w:t>
      </w:r>
    </w:p>
    <w:p w14:paraId="11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10.12.2003 № 173-ФЗ (действующая редакция) «О валютном регулировании и валютном контроле»;</w:t>
      </w:r>
    </w:p>
    <w:p w14:paraId="12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29.07.2004 № 98-ФЗ (действующая редакция) «О коммерческой тайне»;</w:t>
      </w:r>
    </w:p>
    <w:p w14:paraId="13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27.07.2006 № 152-ФЗ (действующая редакция) «О персональных данных»;</w:t>
      </w:r>
    </w:p>
    <w:p w14:paraId="14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29.12.2006 № 255-ФЗ (действующая редакция) «Об обязательном социальном страховании на случай временной нетрудоспособности и в связи с материнством»;</w:t>
      </w:r>
    </w:p>
    <w:p w14:paraId="15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25.12.2008 № 273-ФЗ (действующая редакция) «О противодействии коррупции»;</w:t>
      </w:r>
    </w:p>
    <w:p w14:paraId="16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30.12.2008 № 307-ФЗ (действующая редакция) «Об аудиторской деятельности»;</w:t>
      </w:r>
    </w:p>
    <w:p w14:paraId="17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27.07.2010 № 208-ФЗ (действующая редакция) «О консолидированной финансовой отчетности»;</w:t>
      </w:r>
    </w:p>
    <w:p w14:paraId="18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27.11.2010 № 311-ФЗ (действующая редакция) «О таможенном регулировании в Российской Федерации»;</w:t>
      </w:r>
    </w:p>
    <w:p w14:paraId="19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29.11.2010 № 326-ФЗ (действующая редакция) «Об обязательном медицинском страховании в Российской Федерации»;</w:t>
      </w:r>
    </w:p>
    <w:p w14:paraId="1A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06.12.2011 № 402-ФЗ «О бухгалтерском учете» (действующая редакция);</w:t>
      </w:r>
    </w:p>
    <w:p w14:paraId="1B030000">
      <w:pPr>
        <w:numPr>
          <w:ilvl w:val="0"/>
          <w:numId w:val="11"/>
        </w:numPr>
        <w:tabs>
          <w:tab w:leader="none" w:pos="1134" w:val="left"/>
        </w:tabs>
        <w:ind w:firstLine="709" w:left="0"/>
        <w:jc w:val="both"/>
        <w:rPr>
          <w:rFonts w:ascii="Times New Roman" w:hAnsi="Times New Roman"/>
          <w:sz w:val="24"/>
        </w:rPr>
      </w:pPr>
      <w:r>
        <w:rPr>
          <w:rFonts w:ascii="Times New Roman" w:hAnsi="Times New Roman"/>
          <w:color w:val="000000"/>
          <w:sz w:val="24"/>
        </w:rPr>
        <w:t>Федеральный закон от 22.12.2020 № 434-ФЗ </w:t>
      </w:r>
      <w:r>
        <w:rPr>
          <w:rFonts w:ascii="Times New Roman" w:hAnsi="Times New Roman"/>
          <w:sz w:val="24"/>
        </w:rPr>
        <w:t xml:space="preserve"> (действующая редакция)</w:t>
      </w:r>
      <w:r>
        <w:rPr>
          <w:rFonts w:ascii="Times New Roman" w:hAnsi="Times New Roman"/>
          <w:color w:val="000000"/>
          <w:sz w:val="24"/>
        </w:rPr>
        <w:t xml:space="preserve"> «О страховых тарифах на обязательное социальное страхование от несчастных случаев на производстве и профессиональных заболеваний на 2021 год и на плановый период 2022 и 2023 годов»</w:t>
      </w:r>
      <w:r>
        <w:rPr>
          <w:rFonts w:ascii="Times New Roman" w:hAnsi="Times New Roman"/>
          <w:sz w:val="24"/>
        </w:rPr>
        <w:t>;</w:t>
      </w:r>
    </w:p>
    <w:p w14:paraId="1C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22.12.2020 № 434-ФЗ (действующая редакция) «О страховых тарифах на обязательное социальное страхование от несчастных случаев на производстве и профессиональных заболеваний на 2021 год и на плановый период 2022 и 2023 годов»;</w:t>
      </w:r>
    </w:p>
    <w:p w14:paraId="1D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Постановление Правительства РФ в 3 частях от 01.01.2002 № 1 «О Классификации основных средств, включаемых в амортизационные группы» (действующая редакция);</w:t>
      </w:r>
    </w:p>
    <w:p w14:paraId="1E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 xml:space="preserve">Постановление Правительства РФ от 15.06.2007 №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w:t>
      </w:r>
      <w:r>
        <w:rPr>
          <w:rFonts w:ascii="Times New Roman" w:hAnsi="Times New Roman"/>
          <w:sz w:val="24"/>
        </w:rPr>
        <w:t>подлежащим обязательному социальному страхованию на случай временной нетрудоспособности и в связи с материнством» (действующая редакция);</w:t>
      </w:r>
    </w:p>
    <w:p w14:paraId="1F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Постановление Правительства Российской Федерации от 30.06.2004 №3 29 «О Министерстве Финансов Российской Федерации»</w:t>
      </w:r>
      <w:r>
        <w:rPr>
          <w:rFonts w:ascii="Times New Roman" w:hAnsi="Times New Roman"/>
          <w:sz w:val="24"/>
        </w:rPr>
        <w:t xml:space="preserve"> (действующая редакция);</w:t>
      </w:r>
    </w:p>
    <w:p w14:paraId="20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«Учетная политика организации» (ПБУ 1/2008), утв. приказом Минфина России от 06.10.2008 № 106н (действующая редакция);</w:t>
      </w:r>
    </w:p>
    <w:p w14:paraId="21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договоров строительного подряда» (ПБУ 2/2008), утв. приказом Минфина России от 24.10.2008 № 116н (действующая редакция);</w:t>
      </w:r>
    </w:p>
    <w:p w14:paraId="22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активов и обязательств, стоимость которых выражена в иностранной валюте» (ПБУ 3/2006), утв. приказом Минфина РФ от 27.11.2006 № 154н (действующая редакция);</w:t>
      </w:r>
    </w:p>
    <w:p w14:paraId="23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«Бухгалтерская отчетность организации» (ПБУ 4/99), утв. приказом Минфина РФ от 06.07.1999 № 43н (действующая редакция);</w:t>
      </w:r>
    </w:p>
    <w:p w14:paraId="24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стандарт «Запасы» (ФСБУ 5/2019), утв. приказом Минфина России от 15.11.2019 № 180н);</w:t>
      </w:r>
    </w:p>
    <w:p w14:paraId="25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стандарт «Основные средства» (ФСБУ 6/2020), утв. приказом Минфина России от 17.09.2020 № 204н;</w:t>
      </w:r>
    </w:p>
    <w:p w14:paraId="26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«События после отчетной даты» (ПБУ 7/98), утв. приказом Минфина России от 25.11.1998 № 56н (действующая редакция);</w:t>
      </w:r>
    </w:p>
    <w:p w14:paraId="27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«Оценочные обязательства, условные обязательства и условные активы» (ПБУ 8/2010), утв. приказом Минфина России от 13.12.2010 № 167н (действующая редакция);</w:t>
      </w:r>
    </w:p>
    <w:p w14:paraId="28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«Доходы организации» (ПБУ 9/99), утв. Приказом Минфина России от 06.05.1999 № 32н (действующая редакция);</w:t>
      </w:r>
    </w:p>
    <w:p w14:paraId="29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«Расходы организации»(ПБУ 10/99), утв. приказом Минфина России от 06.05.1999 N 33н (действующая редакция);</w:t>
      </w:r>
    </w:p>
    <w:p w14:paraId="2A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«Информация о связанных сторонах» (ПБУ 11/2008), утв. приказом Минфина России от 29.04.2008 № 48н (действующая редакция);</w:t>
      </w:r>
    </w:p>
    <w:p w14:paraId="2B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«Информация по сегментам» (ПБУ 12/2010), утв. Приказом Минфина РФ от 08.11.2010 № 143н (действующая редакция);</w:t>
      </w:r>
    </w:p>
    <w:p w14:paraId="2C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государственной помощи» (ПБУ 13/2000), утв. приказом Минфина РФ от 16.10.2000 № 92н (действующая редакция);</w:t>
      </w:r>
    </w:p>
    <w:p w14:paraId="2D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нематериальных активов» (ПБУ 14/2007), утв. приказом Минфина России от 27.12.2007 № 153н (действующая редакция);</w:t>
      </w:r>
    </w:p>
    <w:p w14:paraId="2E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расходов по займам и кредитам» (ПБУ 15/2008), утв. приказом Минфина России от 06.10.2008 № 107н (действующая редакция);</w:t>
      </w:r>
    </w:p>
    <w:p w14:paraId="2F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«Информация по прекращаемой деятельности» (ПБУ 16/02), утв. приказом Минфина России от 02.07.2002 № 66н (действующая редакция);</w:t>
      </w:r>
    </w:p>
    <w:p w14:paraId="30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расходов на научно-исследовательские, опытно-конструкторские и технологические работы» (ПБУ 17/02), утв. приказом Минфина России от 19.11.2002 № 115н (действующая редакция);</w:t>
      </w:r>
    </w:p>
    <w:p w14:paraId="31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расчетов по налогу на прибыль организаций» (ПБУ 18/02), утв. приказом Минфина России от 19.11.2002 № 114н (действующая редакция);</w:t>
      </w:r>
    </w:p>
    <w:p w14:paraId="32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финансовых вложений» (ПБУ 19/02), утв. приказом Минфина России от 10.12.2002 № 126н (действующая редакция);</w:t>
      </w:r>
    </w:p>
    <w:p w14:paraId="33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«Информация об участии в совместной деятельности» (ПБУ 20/03), утв. приказом Минфина РФ от 24.11.2003 № 105н (действующая редакция);</w:t>
      </w:r>
    </w:p>
    <w:p w14:paraId="34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«Изменения оценочных значений» (ПБУ 21/2008), утв. приказом Минфина России от 06.10.2008 № 106н (действующая редакция);</w:t>
      </w:r>
    </w:p>
    <w:p w14:paraId="35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 xml:space="preserve">Положение по бухгалтерскому учету «Исправление ошибок в бухгалтерском учете и отчетности» (ПБУ 22/2010), утв. приказом Минфина России от 28.06.2010 № 63н (действующая редакция); </w:t>
      </w:r>
    </w:p>
    <w:p w14:paraId="36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«Отчет о движении денежных средств» (ПБУ 23/2011), утв. приказом Минфина РФ от 02.02.2011 № 11н (действующая редакция);</w:t>
      </w:r>
    </w:p>
    <w:p w14:paraId="37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затрат на освоение природных ресурсов» (ПБУ 24/2011), утв. приказом Минфина РФ от 06.10.2011 № 125н (действующая редакция);</w:t>
      </w:r>
    </w:p>
    <w:p w14:paraId="38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Федеральный стандарт бухгалтерского учета ФСБУ 26/2020 «Капитальные вложения», утв. приказом Минфина РФ от 17.09.2020 № 204н (действующая редакция);</w:t>
      </w:r>
    </w:p>
    <w:p w14:paraId="39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России от 12.11.2013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 в действующей редакции);</w:t>
      </w:r>
    </w:p>
    <w:p w14:paraId="3A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РФ от 13.06.1995 № 49 «Об утверждении Методических указаний по инвентаризации имущества и финансовых обязательств» (действующая редакция);</w:t>
      </w:r>
    </w:p>
    <w:p w14:paraId="3B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w:t>
      </w:r>
      <w:r>
        <w:rPr>
          <w:rFonts w:ascii="Times New Roman" w:hAnsi="Times New Roman"/>
          <w:sz w:val="24"/>
        </w:rPr>
        <w:t xml:space="preserve"> (действующая редакция);</w:t>
      </w:r>
    </w:p>
    <w:p w14:paraId="3C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России от 29.07.1998 № 34н«Об утверждении Положения по ведению бухгалтерского учета и бухгалтерской отчетности в Российской Федерации» (действующая редакция);</w:t>
      </w:r>
    </w:p>
    <w:p w14:paraId="3D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ФНС России от 29.10.2014г. №ММВ-7 -3/558@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(в действующей редакции);</w:t>
      </w:r>
    </w:p>
    <w:p w14:paraId="3E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РФ от 31.10.2000 №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3F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России от 02.07.2010 № 66н «О формах бухгалтерской отчетности организаций» (действующая редакция);</w:t>
      </w:r>
    </w:p>
    <w:p w14:paraId="40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России от 16.04.2021 № 62н «Об утверждении Федерального стандарта бухгалтерского учета ФСБУ 27/2021 «Документы и документооборот в бухгалтерском учете» (Зарегистрировано в Минюсте России 07.06.2021 N 63814);</w:t>
      </w:r>
    </w:p>
    <w:p w14:paraId="41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ФНС России от 26.03.2021 № ЕД-7-3/228@ «О внесении изменений в приложения к приказу Федеральной налоговой службы от 29 октября 2014 года N ММВ-7-3/558@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w:t>
      </w:r>
    </w:p>
    <w:p w14:paraId="42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 xml:space="preserve">Приказ ФНС России от 23.09.2019 N ММВ-7-3/475@ "Об утверждении формы налоговой декларации по налогу на прибыль организаций, порядка ее заполнения, а также формата представления налоговой декларации по налогу на прибыль организаций в электронной форме» </w:t>
      </w:r>
      <w:r>
        <w:rPr>
          <w:rFonts w:ascii="Times New Roman" w:hAnsi="Times New Roman"/>
          <w:sz w:val="24"/>
        </w:rPr>
        <w:t>(действующая редакция);</w:t>
      </w:r>
    </w:p>
    <w:p w14:paraId="43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ФНС России от 24.08.2022 № ЕД-7-21/766@ «Об утверждении формы и формата представления налоговой декларации по налогу на имущество организаций в электронной форме и порядка ее заполнения»</w:t>
      </w:r>
      <w:r>
        <w:rPr>
          <w:rFonts w:ascii="Times New Roman" w:hAnsi="Times New Roman"/>
          <w:sz w:val="24"/>
        </w:rPr>
        <w:t xml:space="preserve"> (действующая редакция);</w:t>
      </w:r>
    </w:p>
    <w:p w14:paraId="44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ФНС России от 20.09.2022 № ЕД-7-3/854@ «Об утверждении формы налоговой декларации по налогу на добычу полезных ископаемых, порядка ее заполнения, а также формата представления налоговой декларации по налогу на добычу полезных ископаемых в электронной форме»</w:t>
      </w:r>
      <w:r>
        <w:rPr>
          <w:rFonts w:ascii="Times New Roman" w:hAnsi="Times New Roman"/>
          <w:sz w:val="24"/>
        </w:rPr>
        <w:t xml:space="preserve"> (действующая редакция);</w:t>
      </w:r>
    </w:p>
    <w:p w14:paraId="45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 xml:space="preserve">Приказ ФНС России от 15.10.2020 № ЕД-7-11/753@ «Об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w:t>
      </w:r>
      <w:r>
        <w:rPr>
          <w:rFonts w:ascii="Times New Roman" w:hAnsi="Times New Roman"/>
          <w:sz w:val="24"/>
        </w:rPr>
        <w:t>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w:t>
      </w:r>
      <w:r>
        <w:rPr>
          <w:rFonts w:ascii="Times New Roman" w:hAnsi="Times New Roman"/>
          <w:sz w:val="24"/>
        </w:rPr>
        <w:t xml:space="preserve"> (действующая редакция);</w:t>
      </w:r>
    </w:p>
    <w:p w14:paraId="46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ФНС России от 27.08.2020 № ЕД-7-3/610@ «Об утверждении формы, порядка заполнения и формата представления налоговой декларации по акцизам на этиловый спирт, алкогольную и (или) подакцизную спиртосодержащую продукцию, а также на виноград в электронной форме»;</w:t>
      </w:r>
    </w:p>
    <w:p w14:paraId="47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 xml:space="preserve">Приказ ФНС России от 12.01.2022 № ЕД-7-3/8@ «Об утверждении формы и формата представления налоговой декларации по акцизам на автомобильный бензин, дизельное топливо, моторные масла для дизельных и (или) карбюраторных (инжекторных) двигателей, прямогонный бензин, средние дистилляты, бензол, параксилол, </w:t>
      </w:r>
      <w:r>
        <w:rPr>
          <w:rFonts w:ascii="Times New Roman" w:hAnsi="Times New Roman"/>
          <w:sz w:val="24"/>
        </w:rPr>
        <w:t>ортоксилол</w:t>
      </w:r>
      <w:r>
        <w:rPr>
          <w:rFonts w:ascii="Times New Roman" w:hAnsi="Times New Roman"/>
          <w:sz w:val="24"/>
        </w:rPr>
        <w:t xml:space="preserve">, авиационный керосин, природный газ, этан, сжиженные углеводородные </w:t>
      </w:r>
      <w:r>
        <w:rPr>
          <w:rFonts w:ascii="Times New Roman" w:hAnsi="Times New Roman"/>
          <w:sz w:val="24"/>
        </w:rPr>
        <w:t>газы</w:t>
      </w:r>
      <w:r>
        <w:rPr>
          <w:rFonts w:ascii="Times New Roman" w:hAnsi="Times New Roman"/>
          <w:sz w:val="24"/>
        </w:rPr>
        <w:t>, сталь жидкую, автомобили легковые и мотоциклы в электронной форме и порядка ее заполнения»</w:t>
      </w:r>
      <w:r>
        <w:rPr>
          <w:rFonts w:ascii="Times New Roman" w:hAnsi="Times New Roman"/>
          <w:sz w:val="24"/>
        </w:rPr>
        <w:t xml:space="preserve"> (действующая редакция);</w:t>
      </w:r>
    </w:p>
    <w:p w14:paraId="48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ФНС России от 09.11.2015 № ММВ-7-3/497@ «Об утверждении формы налоговой декларации по водному налогу, порядка ее заполнения, а также формата представления налоговой декларации по водному налогу в электронной форме»;</w:t>
      </w:r>
    </w:p>
    <w:p w14:paraId="49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ФНС России от 16.07.2021 № ЕД-7-21/667@ «Об утверждении формы сообщения об исчисленных налоговым органом суммах транспортного налога, налога на имущество организаций, земельного налога»;</w:t>
      </w:r>
    </w:p>
    <w:p w14:paraId="4A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Приказ ФНС России от 25.12.2020 N ЕД-7-3/958@ «Об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 и о признании утратившим силу приказа ФНС России от 26.02.2016 N ММВ-7-3/99@» (в действующей редакции);</w:t>
      </w:r>
    </w:p>
    <w:p w14:paraId="4B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 xml:space="preserve">Справочно-правовая система «КонсультантПлюс» – </w:t>
      </w:r>
      <w:r>
        <w:rPr>
          <w:rFonts w:ascii="Times New Roman" w:hAnsi="Times New Roman"/>
          <w:sz w:val="24"/>
        </w:rPr>
        <w:t>URL</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HYPERLINK "http://www.consultant.ru"</w:instrText>
      </w:r>
      <w:r>
        <w:rPr>
          <w:rFonts w:ascii="Times New Roman" w:hAnsi="Times New Roman"/>
          <w:sz w:val="24"/>
        </w:rPr>
        <w:fldChar w:fldCharType="separate"/>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consultant</w:t>
      </w:r>
      <w:r>
        <w:rPr>
          <w:rFonts w:ascii="Times New Roman" w:hAnsi="Times New Roman"/>
          <w:sz w:val="24"/>
        </w:rPr>
        <w:t>.</w:t>
      </w:r>
      <w:r>
        <w:rPr>
          <w:rFonts w:ascii="Times New Roman" w:hAnsi="Times New Roman"/>
          <w:sz w:val="24"/>
        </w:rPr>
        <w:t>ru</w:t>
      </w:r>
      <w:r>
        <w:rPr>
          <w:rFonts w:ascii="Times New Roman" w:hAnsi="Times New Roman"/>
          <w:sz w:val="24"/>
        </w:rPr>
        <w:fldChar w:fldCharType="end"/>
      </w:r>
      <w:r>
        <w:rPr>
          <w:rFonts w:ascii="Times New Roman" w:hAnsi="Times New Roman"/>
          <w:sz w:val="24"/>
        </w:rPr>
        <w:t xml:space="preserve"> – </w:t>
      </w:r>
    </w:p>
    <w:p w14:paraId="4C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С</w:t>
      </w:r>
      <w:r>
        <w:rPr>
          <w:rFonts w:ascii="Times New Roman" w:hAnsi="Times New Roman"/>
          <w:sz w:val="24"/>
        </w:rPr>
        <w:t xml:space="preserve">правочно-правовая система «Гарант» – URL: </w:t>
      </w:r>
      <w:r>
        <w:rPr>
          <w:rFonts w:ascii="Times New Roman" w:hAnsi="Times New Roman"/>
          <w:sz w:val="24"/>
        </w:rPr>
        <w:fldChar w:fldCharType="begin"/>
      </w:r>
      <w:r>
        <w:rPr>
          <w:rFonts w:ascii="Times New Roman" w:hAnsi="Times New Roman"/>
          <w:sz w:val="24"/>
        </w:rPr>
        <w:instrText>HYPERLINK "http://www.garant.ru"</w:instrText>
      </w:r>
      <w:r>
        <w:rPr>
          <w:rFonts w:ascii="Times New Roman" w:hAnsi="Times New Roman"/>
          <w:sz w:val="24"/>
        </w:rPr>
        <w:fldChar w:fldCharType="separate"/>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garant</w:t>
      </w:r>
      <w:r>
        <w:rPr>
          <w:rFonts w:ascii="Times New Roman" w:hAnsi="Times New Roman"/>
          <w:sz w:val="24"/>
        </w:rPr>
        <w:t>.</w:t>
      </w:r>
      <w:r>
        <w:rPr>
          <w:rFonts w:ascii="Times New Roman" w:hAnsi="Times New Roman"/>
          <w:sz w:val="24"/>
        </w:rPr>
        <w:t>ru</w:t>
      </w:r>
      <w:r>
        <w:rPr>
          <w:rFonts w:ascii="Times New Roman" w:hAnsi="Times New Roman"/>
          <w:sz w:val="24"/>
        </w:rPr>
        <w:fldChar w:fldCharType="end"/>
      </w:r>
    </w:p>
    <w:p w14:paraId="4D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 xml:space="preserve">Официальный сайт Министерства финансов Российской Федерации – URL: </w:t>
      </w:r>
      <w:r>
        <w:rPr>
          <w:rFonts w:ascii="Times New Roman" w:hAnsi="Times New Roman"/>
          <w:sz w:val="24"/>
        </w:rPr>
        <w:fldChar w:fldCharType="begin"/>
      </w:r>
      <w:r>
        <w:rPr>
          <w:rFonts w:ascii="Times New Roman" w:hAnsi="Times New Roman"/>
          <w:sz w:val="24"/>
        </w:rPr>
        <w:instrText>HYPERLINK "http://www.minfin.ru"</w:instrText>
      </w:r>
      <w:r>
        <w:rPr>
          <w:rFonts w:ascii="Times New Roman" w:hAnsi="Times New Roman"/>
          <w:sz w:val="24"/>
        </w:rPr>
        <w:fldChar w:fldCharType="separate"/>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minfin</w:t>
      </w:r>
      <w:r>
        <w:rPr>
          <w:rFonts w:ascii="Times New Roman" w:hAnsi="Times New Roman"/>
          <w:sz w:val="24"/>
        </w:rPr>
        <w:t>.</w:t>
      </w:r>
      <w:r>
        <w:rPr>
          <w:rFonts w:ascii="Times New Roman" w:hAnsi="Times New Roman"/>
          <w:sz w:val="24"/>
        </w:rPr>
        <w:t>ru</w:t>
      </w:r>
      <w:r>
        <w:rPr>
          <w:rFonts w:ascii="Times New Roman" w:hAnsi="Times New Roman"/>
          <w:sz w:val="24"/>
        </w:rPr>
        <w:fldChar w:fldCharType="end"/>
      </w:r>
    </w:p>
    <w:p w14:paraId="4E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 xml:space="preserve">Официальный сайт Федеральной налоговой службы – URL: </w:t>
      </w:r>
      <w:r>
        <w:rPr>
          <w:rFonts w:ascii="Times New Roman" w:hAnsi="Times New Roman"/>
          <w:sz w:val="24"/>
        </w:rPr>
        <w:fldChar w:fldCharType="begin"/>
      </w:r>
      <w:r>
        <w:rPr>
          <w:rFonts w:ascii="Times New Roman" w:hAnsi="Times New Roman"/>
          <w:sz w:val="24"/>
        </w:rPr>
        <w:instrText>HYPERLINK "http://www.nalog.ru"</w:instrText>
      </w:r>
      <w:r>
        <w:rPr>
          <w:rFonts w:ascii="Times New Roman" w:hAnsi="Times New Roman"/>
          <w:sz w:val="24"/>
        </w:rPr>
        <w:fldChar w:fldCharType="separate"/>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nalog</w:t>
      </w:r>
      <w:r>
        <w:rPr>
          <w:rFonts w:ascii="Times New Roman" w:hAnsi="Times New Roman"/>
          <w:sz w:val="24"/>
        </w:rPr>
        <w:t>.</w:t>
      </w:r>
      <w:r>
        <w:rPr>
          <w:rFonts w:ascii="Times New Roman" w:hAnsi="Times New Roman"/>
          <w:sz w:val="24"/>
        </w:rPr>
        <w:t>ru</w:t>
      </w:r>
      <w:r>
        <w:rPr>
          <w:rFonts w:ascii="Times New Roman" w:hAnsi="Times New Roman"/>
          <w:sz w:val="24"/>
        </w:rPr>
        <w:fldChar w:fldCharType="end"/>
      </w:r>
    </w:p>
    <w:p w14:paraId="4F030000">
      <w:pPr>
        <w:numPr>
          <w:ilvl w:val="0"/>
          <w:numId w:val="11"/>
        </w:numPr>
        <w:tabs>
          <w:tab w:leader="none" w:pos="1134" w:val="left"/>
        </w:tabs>
        <w:ind w:firstLine="709" w:left="0"/>
        <w:jc w:val="both"/>
        <w:rPr>
          <w:rFonts w:ascii="Times New Roman" w:hAnsi="Times New Roman"/>
          <w:sz w:val="24"/>
        </w:rPr>
      </w:pPr>
      <w:r>
        <w:rPr>
          <w:rFonts w:ascii="Times New Roman" w:hAnsi="Times New Roman"/>
          <w:sz w:val="24"/>
        </w:rPr>
        <w:t xml:space="preserve">Официальный сайт Федерального казначейства – URL: </w:t>
      </w:r>
      <w:r>
        <w:rPr>
          <w:rFonts w:ascii="Times New Roman" w:hAnsi="Times New Roman"/>
          <w:sz w:val="24"/>
        </w:rPr>
        <w:fldChar w:fldCharType="begin"/>
      </w:r>
      <w:r>
        <w:rPr>
          <w:rFonts w:ascii="Times New Roman" w:hAnsi="Times New Roman"/>
          <w:sz w:val="24"/>
        </w:rPr>
        <w:instrText>HYPERLINK "http://www.roskazna.ru"</w:instrText>
      </w:r>
      <w:r>
        <w:rPr>
          <w:rFonts w:ascii="Times New Roman" w:hAnsi="Times New Roman"/>
          <w:sz w:val="24"/>
        </w:rPr>
        <w:fldChar w:fldCharType="separate"/>
      </w:r>
      <w:r>
        <w:rPr>
          <w:rFonts w:ascii="Times New Roman" w:hAnsi="Times New Roman"/>
          <w:sz w:val="24"/>
        </w:rPr>
        <w:t>http://www.</w:t>
      </w:r>
      <w:r>
        <w:rPr>
          <w:rFonts w:ascii="Times New Roman" w:hAnsi="Times New Roman"/>
          <w:sz w:val="24"/>
        </w:rPr>
        <w:t>roskazna</w:t>
      </w:r>
      <w:r>
        <w:rPr>
          <w:rFonts w:ascii="Times New Roman" w:hAnsi="Times New Roman"/>
          <w:sz w:val="24"/>
        </w:rPr>
        <w:t>.</w:t>
      </w:r>
      <w:r>
        <w:rPr>
          <w:rFonts w:ascii="Times New Roman" w:hAnsi="Times New Roman"/>
          <w:sz w:val="24"/>
        </w:rPr>
        <w:t>ru</w:t>
      </w:r>
      <w:r>
        <w:rPr>
          <w:rFonts w:ascii="Times New Roman" w:hAnsi="Times New Roman"/>
          <w:sz w:val="24"/>
        </w:rPr>
        <w:fldChar w:fldCharType="end"/>
      </w:r>
    </w:p>
    <w:p w14:paraId="5003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Пенсионного фонда России – URL: </w:t>
      </w:r>
      <w:r>
        <w:rPr>
          <w:rFonts w:ascii="Times New Roman" w:hAnsi="Times New Roman"/>
          <w:sz w:val="24"/>
        </w:rPr>
        <w:fldChar w:fldCharType="begin"/>
      </w:r>
      <w:r>
        <w:rPr>
          <w:rFonts w:ascii="Times New Roman" w:hAnsi="Times New Roman"/>
          <w:sz w:val="24"/>
        </w:rPr>
        <w:instrText>HYPERLINK "http://www.pfrf.ru/"</w:instrText>
      </w:r>
      <w:r>
        <w:rPr>
          <w:rFonts w:ascii="Times New Roman" w:hAnsi="Times New Roman"/>
          <w:sz w:val="24"/>
        </w:rPr>
        <w:fldChar w:fldCharType="separate"/>
      </w:r>
      <w:r>
        <w:rPr>
          <w:rFonts w:ascii="Times New Roman" w:hAnsi="Times New Roman"/>
          <w:sz w:val="24"/>
        </w:rPr>
        <w:t>http://www.pfrf.ru/</w:t>
      </w:r>
      <w:r>
        <w:rPr>
          <w:rFonts w:ascii="Times New Roman" w:hAnsi="Times New Roman"/>
          <w:sz w:val="24"/>
        </w:rPr>
        <w:fldChar w:fldCharType="end"/>
      </w:r>
    </w:p>
    <w:p w14:paraId="5103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Фонда социального страхования – URL: </w:t>
      </w:r>
      <w:r>
        <w:rPr>
          <w:rFonts w:ascii="Times New Roman" w:hAnsi="Times New Roman"/>
          <w:sz w:val="24"/>
        </w:rPr>
        <w:fldChar w:fldCharType="begin"/>
      </w:r>
      <w:r>
        <w:rPr>
          <w:rFonts w:ascii="Times New Roman" w:hAnsi="Times New Roman"/>
          <w:sz w:val="24"/>
        </w:rPr>
        <w:instrText>HYPERLINK "http://fss.ru/"</w:instrText>
      </w:r>
      <w:r>
        <w:rPr>
          <w:rFonts w:ascii="Times New Roman" w:hAnsi="Times New Roman"/>
          <w:sz w:val="24"/>
        </w:rPr>
        <w:fldChar w:fldCharType="separate"/>
      </w:r>
      <w:r>
        <w:rPr>
          <w:rFonts w:ascii="Times New Roman" w:hAnsi="Times New Roman"/>
          <w:sz w:val="24"/>
        </w:rPr>
        <w:t>http://fss.ru/</w:t>
      </w:r>
      <w:r>
        <w:rPr>
          <w:rFonts w:ascii="Times New Roman" w:hAnsi="Times New Roman"/>
          <w:sz w:val="24"/>
        </w:rPr>
        <w:fldChar w:fldCharType="end"/>
      </w:r>
    </w:p>
    <w:p w14:paraId="5203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Фонда обязательного медицинского страхования – URL: </w:t>
      </w:r>
      <w:r>
        <w:rPr>
          <w:rFonts w:ascii="Times New Roman" w:hAnsi="Times New Roman"/>
          <w:sz w:val="24"/>
        </w:rPr>
        <w:fldChar w:fldCharType="begin"/>
      </w:r>
      <w:r>
        <w:rPr>
          <w:rFonts w:ascii="Times New Roman" w:hAnsi="Times New Roman"/>
          <w:sz w:val="24"/>
        </w:rPr>
        <w:instrText>HYPERLINK "http://www.ffoms.ru/"</w:instrText>
      </w:r>
      <w:r>
        <w:rPr>
          <w:rFonts w:ascii="Times New Roman" w:hAnsi="Times New Roman"/>
          <w:sz w:val="24"/>
        </w:rPr>
        <w:fldChar w:fldCharType="separate"/>
      </w:r>
      <w:r>
        <w:rPr>
          <w:rFonts w:ascii="Times New Roman" w:hAnsi="Times New Roman"/>
          <w:sz w:val="24"/>
        </w:rPr>
        <w:t>http://www.ffoms.ru/</w:t>
      </w:r>
      <w:r>
        <w:rPr>
          <w:rFonts w:ascii="Times New Roman" w:hAnsi="Times New Roman"/>
          <w:sz w:val="24"/>
        </w:rPr>
        <w:fldChar w:fldCharType="end"/>
      </w:r>
    </w:p>
    <w:p w14:paraId="5303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Федеральной службы государственной статистики – URL: </w:t>
      </w:r>
      <w:r>
        <w:rPr>
          <w:rFonts w:ascii="Times New Roman" w:hAnsi="Times New Roman"/>
          <w:sz w:val="24"/>
        </w:rPr>
        <w:fldChar w:fldCharType="begin"/>
      </w:r>
      <w:r>
        <w:rPr>
          <w:rFonts w:ascii="Times New Roman" w:hAnsi="Times New Roman"/>
          <w:sz w:val="24"/>
        </w:rPr>
        <w:instrText>HYPERLINK "http://www.gks.ru/"</w:instrText>
      </w:r>
      <w:r>
        <w:rPr>
          <w:rFonts w:ascii="Times New Roman" w:hAnsi="Times New Roman"/>
          <w:sz w:val="24"/>
        </w:rPr>
        <w:fldChar w:fldCharType="separate"/>
      </w:r>
      <w:r>
        <w:rPr>
          <w:rFonts w:ascii="Times New Roman" w:hAnsi="Times New Roman"/>
          <w:sz w:val="24"/>
        </w:rPr>
        <w:t>http://www.gks.ru/</w:t>
      </w:r>
      <w:r>
        <w:rPr>
          <w:rFonts w:ascii="Times New Roman" w:hAnsi="Times New Roman"/>
          <w:sz w:val="24"/>
        </w:rPr>
        <w:fldChar w:fldCharType="end"/>
      </w:r>
      <w:r>
        <w:rPr>
          <w:rFonts w:ascii="Times New Roman" w:hAnsi="Times New Roman"/>
          <w:sz w:val="24"/>
        </w:rPr>
        <w:t xml:space="preserve"> </w:t>
      </w:r>
    </w:p>
    <w:p w14:paraId="5403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«1С:Предприятие 8» – URL: </w:t>
      </w:r>
      <w:r>
        <w:rPr>
          <w:rFonts w:ascii="Times New Roman" w:hAnsi="Times New Roman"/>
          <w:sz w:val="24"/>
        </w:rPr>
        <w:fldChar w:fldCharType="begin"/>
      </w:r>
      <w:r>
        <w:rPr>
          <w:rFonts w:ascii="Times New Roman" w:hAnsi="Times New Roman"/>
          <w:sz w:val="24"/>
        </w:rPr>
        <w:instrText>HYPERLINK "https://v8.1c.ru/"</w:instrText>
      </w:r>
      <w:r>
        <w:rPr>
          <w:rFonts w:ascii="Times New Roman" w:hAnsi="Times New Roman"/>
          <w:sz w:val="24"/>
        </w:rPr>
        <w:fldChar w:fldCharType="separate"/>
      </w:r>
      <w:r>
        <w:rPr>
          <w:rFonts w:ascii="Times New Roman" w:hAnsi="Times New Roman"/>
          <w:sz w:val="24"/>
        </w:rPr>
        <w:t>https</w:t>
      </w:r>
      <w:r>
        <w:rPr>
          <w:rFonts w:ascii="Times New Roman" w:hAnsi="Times New Roman"/>
          <w:sz w:val="24"/>
        </w:rPr>
        <w:t>://</w:t>
      </w:r>
      <w:r>
        <w:rPr>
          <w:rFonts w:ascii="Times New Roman" w:hAnsi="Times New Roman"/>
          <w:sz w:val="24"/>
        </w:rPr>
        <w:t>v</w:t>
      </w:r>
      <w:r>
        <w:rPr>
          <w:rFonts w:ascii="Times New Roman" w:hAnsi="Times New Roman"/>
          <w:sz w:val="24"/>
        </w:rPr>
        <w:t>8.1</w:t>
      </w:r>
      <w:r>
        <w:rPr>
          <w:rFonts w:ascii="Times New Roman" w:hAnsi="Times New Roman"/>
          <w:sz w:val="24"/>
        </w:rPr>
        <w:t>c</w:t>
      </w:r>
      <w:r>
        <w:rPr>
          <w:rFonts w:ascii="Times New Roman" w:hAnsi="Times New Roman"/>
          <w:sz w:val="24"/>
        </w:rPr>
        <w:t>.</w:t>
      </w:r>
      <w:r>
        <w:rPr>
          <w:rFonts w:ascii="Times New Roman" w:hAnsi="Times New Roman"/>
          <w:sz w:val="24"/>
        </w:rPr>
        <w:t>ru</w:t>
      </w:r>
      <w:r>
        <w:rPr>
          <w:rFonts w:ascii="Times New Roman" w:hAnsi="Times New Roman"/>
          <w:sz w:val="24"/>
        </w:rPr>
        <w:t>/</w:t>
      </w:r>
      <w:r>
        <w:rPr>
          <w:rFonts w:ascii="Times New Roman" w:hAnsi="Times New Roman"/>
          <w:sz w:val="24"/>
        </w:rPr>
        <w:fldChar w:fldCharType="end"/>
      </w:r>
    </w:p>
    <w:p w14:paraId="55030000">
      <w:pPr>
        <w:numPr>
          <w:ilvl w:val="0"/>
          <w:numId w:val="11"/>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«1С:Предприятие 8» для учебных заведений – URL: </w:t>
      </w:r>
      <w:r>
        <w:rPr>
          <w:rFonts w:ascii="Times New Roman" w:hAnsi="Times New Roman"/>
          <w:sz w:val="24"/>
        </w:rPr>
        <w:fldChar w:fldCharType="begin"/>
      </w:r>
      <w:r>
        <w:rPr>
          <w:rFonts w:ascii="Times New Roman" w:hAnsi="Times New Roman"/>
          <w:sz w:val="24"/>
        </w:rPr>
        <w:instrText>HYPERLINK "http://edu.1cfresh.com/"</w:instrText>
      </w:r>
      <w:r>
        <w:rPr>
          <w:rFonts w:ascii="Times New Roman" w:hAnsi="Times New Roman"/>
          <w:sz w:val="24"/>
        </w:rPr>
        <w:fldChar w:fldCharType="separate"/>
      </w:r>
      <w:r>
        <w:rPr>
          <w:rFonts w:ascii="Times New Roman" w:hAnsi="Times New Roman"/>
          <w:sz w:val="24"/>
        </w:rPr>
        <w:t>http</w:t>
      </w:r>
      <w:r>
        <w:rPr>
          <w:rFonts w:ascii="Times New Roman" w:hAnsi="Times New Roman"/>
          <w:sz w:val="24"/>
        </w:rPr>
        <w:t>://</w:t>
      </w:r>
      <w:r>
        <w:rPr>
          <w:rFonts w:ascii="Times New Roman" w:hAnsi="Times New Roman"/>
          <w:sz w:val="24"/>
        </w:rPr>
        <w:t>edu</w:t>
      </w:r>
      <w:r>
        <w:rPr>
          <w:rFonts w:ascii="Times New Roman" w:hAnsi="Times New Roman"/>
          <w:sz w:val="24"/>
        </w:rPr>
        <w:t>.1</w:t>
      </w:r>
      <w:r>
        <w:rPr>
          <w:rFonts w:ascii="Times New Roman" w:hAnsi="Times New Roman"/>
          <w:sz w:val="24"/>
        </w:rPr>
        <w:t>cfresh</w:t>
      </w:r>
      <w:r>
        <w:rPr>
          <w:rFonts w:ascii="Times New Roman" w:hAnsi="Times New Roman"/>
          <w:sz w:val="24"/>
        </w:rPr>
        <w:t>.</w:t>
      </w:r>
      <w:r>
        <w:rPr>
          <w:rFonts w:ascii="Times New Roman" w:hAnsi="Times New Roman"/>
          <w:sz w:val="24"/>
        </w:rPr>
        <w:t>com</w:t>
      </w:r>
      <w:r>
        <w:rPr>
          <w:rFonts w:ascii="Times New Roman" w:hAnsi="Times New Roman"/>
          <w:sz w:val="24"/>
        </w:rPr>
        <w:t>/</w:t>
      </w:r>
      <w:r>
        <w:rPr>
          <w:rFonts w:ascii="Times New Roman" w:hAnsi="Times New Roman"/>
          <w:sz w:val="24"/>
        </w:rPr>
        <w:fldChar w:fldCharType="end"/>
      </w:r>
    </w:p>
    <w:p w14:paraId="56030000">
      <w:pPr>
        <w:tabs>
          <w:tab w:leader="none" w:pos="1134" w:val="left"/>
        </w:tabs>
        <w:ind/>
        <w:contextualSpacing w:val="1"/>
        <w:jc w:val="both"/>
        <w:rPr>
          <w:rFonts w:ascii="Times New Roman" w:hAnsi="Times New Roman"/>
          <w:sz w:val="24"/>
        </w:rPr>
      </w:pPr>
    </w:p>
    <w:p w14:paraId="57030000">
      <w:pPr>
        <w:pStyle w:val="Style_5"/>
        <w:rPr>
          <w:rFonts w:ascii="Times New Roman" w:hAnsi="Times New Roman"/>
        </w:rPr>
      </w:pPr>
      <w:r>
        <w:rPr>
          <w:rFonts w:ascii="Times New Roman" w:hAnsi="Times New Roman"/>
        </w:rPr>
        <w:br w:type="page"/>
      </w:r>
    </w:p>
    <w:p w14:paraId="58030000">
      <w:bookmarkStart w:id="26" w:name="__RefHeading___12"/>
      <w:bookmarkEnd w:id="26"/>
      <w:bookmarkStart w:id="27" w:name="__RefHeading___35"/>
      <w:bookmarkEnd w:id="27"/>
      <w:pPr>
        <w:pStyle w:val="Style_5"/>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r>
      <w:r>
        <w:rPr>
          <w:rFonts w:ascii="Times New Roman" w:hAnsi="Times New Roman"/>
        </w:rPr>
        <w:t>профессионального модуля</w:t>
      </w:r>
    </w:p>
    <w:tbl>
      <w:tblPr>
        <w:tblStyle w:val="Style_8"/>
        <w:tblW w:type="auto" w:w="0"/>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159"/>
        <w:gridCol w:w="4400"/>
        <w:gridCol w:w="3709"/>
      </w:tblGrid>
      <w:tr>
        <w:tc>
          <w:tcPr>
            <w:tcW w:type="dxa" w:w="1159"/>
            <w:tcBorders>
              <w:top w:color="000000" w:sz="4" w:val="single"/>
              <w:left w:color="000000" w:sz="4" w:val="single"/>
              <w:bottom w:color="000000" w:sz="4" w:val="single"/>
              <w:right w:color="000000" w:sz="4" w:val="single"/>
            </w:tcBorders>
            <w:shd w:fill="auto" w:val="clear"/>
          </w:tcPr>
          <w:p w14:paraId="59030000">
            <w:pPr>
              <w:ind/>
              <w:jc w:val="center"/>
              <w:rPr>
                <w:rFonts w:ascii="Times New Roman" w:hAnsi="Times New Roman"/>
                <w:b w:val="1"/>
                <w:sz w:val="24"/>
              </w:rPr>
            </w:pPr>
            <w:r>
              <w:rPr>
                <w:rFonts w:ascii="Times New Roman" w:hAnsi="Times New Roman"/>
                <w:b w:val="1"/>
                <w:sz w:val="24"/>
              </w:rPr>
              <w:t xml:space="preserve">Код </w:t>
            </w:r>
            <w:r>
              <w:rPr>
                <w:rFonts w:ascii="Times New Roman" w:hAnsi="Times New Roman"/>
                <w:b w:val="1"/>
                <w:sz w:val="24"/>
              </w:rPr>
              <w:t>П</w:t>
            </w:r>
            <w:r>
              <w:rPr>
                <w:rFonts w:ascii="Times New Roman" w:hAnsi="Times New Roman"/>
                <w:b w:val="1"/>
                <w:sz w:val="24"/>
              </w:rPr>
              <w:t>К</w:t>
            </w:r>
            <w:r>
              <w:rPr>
                <w:rFonts w:ascii="Times New Roman" w:hAnsi="Times New Roman"/>
                <w:b w:val="1"/>
                <w:sz w:val="24"/>
              </w:rPr>
              <w:t>, ОК</w:t>
            </w:r>
          </w:p>
        </w:tc>
        <w:tc>
          <w:tcPr>
            <w:tcW w:type="dxa" w:w="4400"/>
            <w:tcBorders>
              <w:top w:color="000000" w:sz="4" w:val="single"/>
              <w:left w:color="000000" w:sz="4" w:val="single"/>
              <w:bottom w:color="000000" w:sz="4" w:val="single"/>
              <w:right w:color="000000" w:sz="4" w:val="single"/>
            </w:tcBorders>
            <w:shd w:fill="auto" w:val="clear"/>
            <w:vAlign w:val="center"/>
          </w:tcPr>
          <w:p w14:paraId="5A030000">
            <w:pPr>
              <w:ind/>
              <w:jc w:val="center"/>
              <w:rPr>
                <w:rFonts w:ascii="Times New Roman" w:hAnsi="Times New Roman"/>
                <w:b w:val="1"/>
                <w:sz w:val="24"/>
                <w:highlight w:val="yellow"/>
              </w:rPr>
            </w:pPr>
            <w:r>
              <w:rPr>
                <w:rFonts w:ascii="Times New Roman" w:hAnsi="Times New Roman"/>
                <w:b w:val="1"/>
                <w:sz w:val="24"/>
              </w:rPr>
              <w:t>Критерии</w:t>
            </w:r>
            <w:r>
              <w:rPr>
                <w:rFonts w:ascii="Times New Roman" w:hAnsi="Times New Roman"/>
                <w:b w:val="1"/>
                <w:sz w:val="24"/>
              </w:rPr>
              <w:t xml:space="preserve"> оценки результата</w:t>
            </w:r>
            <w:r>
              <w:rPr>
                <w:rFonts w:ascii="Times New Roman" w:hAnsi="Times New Roman"/>
                <w:b w:val="1"/>
                <w:sz w:val="24"/>
              </w:rPr>
              <w:t xml:space="preserve"> </w:t>
            </w:r>
            <w:r>
              <w:rPr>
                <w:rFonts w:ascii="Times New Roman" w:hAnsi="Times New Roman"/>
                <w:b w:val="1"/>
                <w:sz w:val="24"/>
              </w:rPr>
              <w:br/>
            </w:r>
            <w:r>
              <w:rPr>
                <w:rFonts w:ascii="Times New Roman" w:hAnsi="Times New Roman"/>
                <w:b w:val="1"/>
                <w:sz w:val="24"/>
              </w:rPr>
              <w:t>(п</w:t>
            </w:r>
            <w:r>
              <w:rPr>
                <w:rFonts w:ascii="Times New Roman" w:hAnsi="Times New Roman"/>
                <w:b w:val="1"/>
                <w:sz w:val="24"/>
              </w:rPr>
              <w:t>оказатели освоенности компетенций</w:t>
            </w:r>
            <w:r>
              <w:rPr>
                <w:rFonts w:ascii="Times New Roman" w:hAnsi="Times New Roman"/>
                <w:b w:val="1"/>
                <w:sz w:val="24"/>
              </w:rPr>
              <w:t>)</w:t>
            </w:r>
          </w:p>
        </w:tc>
        <w:tc>
          <w:tcPr>
            <w:tcW w:type="dxa" w:w="3709"/>
            <w:tcBorders>
              <w:top w:color="000000" w:sz="4" w:val="single"/>
              <w:left w:color="000000" w:sz="4" w:val="single"/>
              <w:bottom w:color="000000" w:sz="4" w:val="single"/>
              <w:right w:color="000000" w:sz="4" w:val="single"/>
            </w:tcBorders>
            <w:shd w:fill="auto" w:val="clear"/>
            <w:vAlign w:val="center"/>
          </w:tcPr>
          <w:p w14:paraId="5B030000">
            <w:pPr>
              <w:ind/>
              <w:jc w:val="center"/>
              <w:rPr>
                <w:rFonts w:ascii="Times New Roman" w:hAnsi="Times New Roman"/>
                <w:b w:val="1"/>
                <w:sz w:val="24"/>
              </w:rPr>
            </w:pPr>
            <w:r>
              <w:rPr>
                <w:rFonts w:ascii="Times New Roman" w:hAnsi="Times New Roman"/>
                <w:b w:val="1"/>
                <w:sz w:val="24"/>
              </w:rPr>
              <w:t xml:space="preserve">Формы контроля </w:t>
            </w:r>
            <w:r>
              <w:rPr>
                <w:rFonts w:ascii="Times New Roman" w:hAnsi="Times New Roman"/>
                <w:b w:val="1"/>
                <w:sz w:val="24"/>
              </w:rPr>
              <w:t>и</w:t>
            </w:r>
            <w:r>
              <w:rPr>
                <w:rFonts w:ascii="Times New Roman" w:hAnsi="Times New Roman"/>
                <w:b w:val="1"/>
                <w:sz w:val="24"/>
              </w:rPr>
              <w:t xml:space="preserve"> методы оценки</w:t>
            </w:r>
            <w:r>
              <w:rPr>
                <w:rStyle w:val="Style_12_ch"/>
                <w:rFonts w:ascii="Times New Roman" w:hAnsi="Times New Roman"/>
                <w:b w:val="1"/>
                <w:sz w:val="24"/>
              </w:rPr>
              <w:footnoteReference w:id="4"/>
            </w:r>
          </w:p>
        </w:tc>
      </w:tr>
      <w:tr>
        <w:tc>
          <w:tcPr>
            <w:tcW w:type="dxa" w:w="1159"/>
            <w:tcBorders>
              <w:top w:color="000000" w:sz="4" w:val="single"/>
              <w:left w:color="000000" w:sz="4" w:val="single"/>
              <w:bottom w:color="000000" w:sz="4" w:val="single"/>
              <w:right w:color="000000" w:sz="4" w:val="single"/>
            </w:tcBorders>
            <w:shd w:fill="auto" w:val="clear"/>
          </w:tcPr>
          <w:p w14:paraId="5C030000">
            <w:pPr>
              <w:ind/>
              <w:jc w:val="both"/>
              <w:rPr>
                <w:rFonts w:ascii="Times New Roman" w:hAnsi="Times New Roman"/>
                <w:sz w:val="24"/>
              </w:rPr>
            </w:pPr>
            <w:r>
              <w:rPr>
                <w:rFonts w:ascii="Times New Roman" w:hAnsi="Times New Roman"/>
                <w:sz w:val="24"/>
              </w:rPr>
              <w:t xml:space="preserve">ОК </w:t>
            </w:r>
            <w:r>
              <w:rPr>
                <w:rFonts w:ascii="Times New Roman" w:hAnsi="Times New Roman"/>
                <w:sz w:val="24"/>
              </w:rPr>
              <w:t>0</w:t>
            </w:r>
            <w:r>
              <w:rPr>
                <w:rFonts w:ascii="Times New Roman" w:hAnsi="Times New Roman"/>
                <w:sz w:val="24"/>
              </w:rPr>
              <w:t xml:space="preserve">9 </w:t>
            </w:r>
          </w:p>
        </w:tc>
        <w:tc>
          <w:tcPr>
            <w:tcW w:type="dxa" w:w="4400"/>
            <w:tcBorders>
              <w:top w:color="000000" w:sz="4" w:val="single"/>
              <w:left w:color="000000" w:sz="4" w:val="single"/>
              <w:bottom w:color="000000" w:sz="4" w:val="single"/>
              <w:right w:color="000000" w:sz="4" w:val="single"/>
            </w:tcBorders>
            <w:shd w:fill="auto" w:val="clear"/>
          </w:tcPr>
          <w:p w14:paraId="5D030000">
            <w:pPr>
              <w:ind/>
              <w:jc w:val="both"/>
              <w:rPr>
                <w:rFonts w:ascii="Times New Roman" w:hAnsi="Times New Roman"/>
                <w:sz w:val="24"/>
              </w:rPr>
            </w:pPr>
            <w:r>
              <w:rPr>
                <w:rFonts w:ascii="Times New Roman" w:hAnsi="Times New Roman"/>
                <w:sz w:val="24"/>
              </w:rPr>
              <w:t>Обладать способностью грамотно применять нормативно-правовую базу и профессиональную литературу для решения профессиональных задач.</w:t>
            </w:r>
          </w:p>
          <w:p w14:paraId="5E030000">
            <w:pPr>
              <w:ind/>
              <w:jc w:val="both"/>
              <w:rPr>
                <w:rFonts w:ascii="Times New Roman" w:hAnsi="Times New Roman"/>
                <w:sz w:val="24"/>
              </w:rPr>
            </w:pPr>
            <w:r>
              <w:rPr>
                <w:rFonts w:ascii="Times New Roman" w:hAnsi="Times New Roman"/>
                <w:sz w:val="24"/>
              </w:rPr>
              <w:t>Умение проверять и правильно заполнять формы документов</w:t>
            </w:r>
          </w:p>
        </w:tc>
        <w:tc>
          <w:tcPr>
            <w:tcW w:type="dxa" w:w="3709"/>
            <w:tcBorders>
              <w:top w:color="000000" w:sz="4" w:val="single"/>
              <w:left w:color="000000" w:sz="4" w:val="single"/>
              <w:bottom w:color="000000" w:sz="4" w:val="single"/>
              <w:right w:color="000000" w:sz="4" w:val="single"/>
            </w:tcBorders>
            <w:shd w:fill="auto" w:val="clear"/>
            <w:vAlign w:val="center"/>
          </w:tcPr>
          <w:p w14:paraId="5F03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6003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6103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62030000">
            <w:pPr>
              <w:ind/>
              <w:jc w:val="both"/>
              <w:rPr>
                <w:rFonts w:ascii="Times New Roman" w:hAnsi="Times New Roman"/>
                <w:sz w:val="24"/>
              </w:rPr>
            </w:pPr>
            <w:r>
              <w:rPr>
                <w:rFonts w:ascii="Times New Roman" w:hAnsi="Times New Roman"/>
                <w:sz w:val="24"/>
              </w:rPr>
              <w:t xml:space="preserve">-выполнении тестовых заданий; </w:t>
            </w:r>
          </w:p>
          <w:p w14:paraId="6303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64030000">
            <w:pPr>
              <w:ind/>
              <w:jc w:val="both"/>
              <w:rPr>
                <w:rFonts w:ascii="Times New Roman" w:hAnsi="Times New Roman"/>
                <w:color w:val="000000"/>
                <w:sz w:val="24"/>
              </w:rPr>
            </w:pPr>
            <w:r>
              <w:rPr>
                <w:rFonts w:ascii="Times New Roman" w:hAnsi="Times New Roman"/>
                <w:color w:val="000000"/>
                <w:sz w:val="24"/>
              </w:rPr>
              <w:t xml:space="preserve">Решение практико-ориентированных (ситуационных) заданий. </w:t>
            </w:r>
          </w:p>
          <w:p w14:paraId="65030000">
            <w:pPr>
              <w:ind/>
              <w:jc w:val="both"/>
              <w:rPr>
                <w:rFonts w:ascii="Times New Roman" w:hAnsi="Times New Roman"/>
                <w:sz w:val="24"/>
              </w:rPr>
            </w:pPr>
            <w:r>
              <w:rPr>
                <w:rFonts w:ascii="Times New Roman" w:hAnsi="Times New Roman"/>
                <w:sz w:val="24"/>
              </w:rPr>
              <w:t>Защита отчетов</w:t>
            </w:r>
            <w:r>
              <w:rPr>
                <w:rFonts w:ascii="Times New Roman" w:hAnsi="Times New Roman"/>
                <w:sz w:val="24"/>
              </w:rPr>
              <w:t xml:space="preserve"> по учебной и производственной практике. </w:t>
            </w:r>
          </w:p>
          <w:p w14:paraId="66030000">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jc w:val="both"/>
              <w:rPr>
                <w:rFonts w:ascii="Times New Roman" w:hAnsi="Times New Roman"/>
                <w:b w:val="1"/>
                <w:sz w:val="24"/>
              </w:rPr>
            </w:pPr>
            <w:r>
              <w:rPr>
                <w:rFonts w:ascii="Times New Roman" w:hAnsi="Times New Roman"/>
                <w:sz w:val="24"/>
              </w:rPr>
              <w:t>Экзамен по профессиональному модулю</w:t>
            </w:r>
          </w:p>
        </w:tc>
      </w:tr>
      <w:tr>
        <w:tc>
          <w:tcPr>
            <w:tcW w:type="dxa" w:w="1159"/>
            <w:tcBorders>
              <w:top w:color="000000" w:sz="4" w:val="single"/>
              <w:left w:color="000000" w:sz="4" w:val="single"/>
              <w:bottom w:color="000000" w:sz="4" w:val="single"/>
              <w:right w:color="000000" w:sz="4" w:val="single"/>
            </w:tcBorders>
            <w:shd w:fill="auto" w:val="clear"/>
          </w:tcPr>
          <w:p w14:paraId="67030000">
            <w:pPr>
              <w:ind/>
              <w:jc w:val="both"/>
              <w:rPr>
                <w:rFonts w:ascii="Times New Roman" w:hAnsi="Times New Roman"/>
                <w:sz w:val="24"/>
              </w:rPr>
            </w:pPr>
            <w:r>
              <w:rPr>
                <w:rFonts w:ascii="Times New Roman" w:hAnsi="Times New Roman"/>
                <w:sz w:val="24"/>
              </w:rPr>
              <w:t xml:space="preserve">ПК 1.1. </w:t>
            </w:r>
          </w:p>
        </w:tc>
        <w:tc>
          <w:tcPr>
            <w:tcW w:type="dxa" w:w="4400"/>
            <w:tcBorders>
              <w:top w:color="000000" w:sz="4" w:val="single"/>
              <w:left w:color="000000" w:sz="4" w:val="single"/>
              <w:bottom w:color="000000" w:sz="4" w:val="single"/>
              <w:right w:color="000000" w:sz="4" w:val="single"/>
            </w:tcBorders>
            <w:shd w:fill="auto" w:val="clear"/>
          </w:tcPr>
          <w:p w14:paraId="68030000">
            <w:pPr>
              <w:ind/>
              <w:jc w:val="both"/>
              <w:rPr>
                <w:rFonts w:ascii="Times New Roman" w:hAnsi="Times New Roman"/>
                <w:color w:val="000000"/>
                <w:sz w:val="24"/>
              </w:rPr>
            </w:pPr>
            <w:r>
              <w:rPr>
                <w:rFonts w:ascii="Times New Roman" w:hAnsi="Times New Roman"/>
                <w:color w:val="000000"/>
                <w:sz w:val="24"/>
              </w:rPr>
              <w:t xml:space="preserve">Владение методикой: </w:t>
            </w:r>
          </w:p>
          <w:p w14:paraId="69030000">
            <w:pPr>
              <w:ind/>
              <w:jc w:val="both"/>
              <w:rPr>
                <w:rFonts w:ascii="Times New Roman" w:hAnsi="Times New Roman"/>
                <w:sz w:val="24"/>
              </w:rPr>
            </w:pPr>
            <w:r>
              <w:rPr>
                <w:rFonts w:ascii="Times New Roman" w:hAnsi="Times New Roman"/>
                <w:b w:val="1"/>
                <w:sz w:val="24"/>
              </w:rPr>
              <w:t xml:space="preserve">- </w:t>
            </w:r>
            <w:r>
              <w:rPr>
                <w:rFonts w:ascii="Times New Roman" w:hAnsi="Times New Roman"/>
                <w:sz w:val="24"/>
              </w:rPr>
              <w:t>составления (оформления) первичных учетных документов</w:t>
            </w:r>
          </w:p>
          <w:p w14:paraId="6A03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приема первичных учетных документов о фактах хозяйственной жизни экономического субъекта</w:t>
            </w:r>
          </w:p>
          <w:p w14:paraId="6B03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проверки первичных учетных документов в отношении формы, полноты оформления, реквизитов</w:t>
            </w:r>
          </w:p>
          <w:p w14:paraId="6C03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систематизации первичных учетных документов текущего отчетного периода в соответствии с учетной политикой</w:t>
            </w:r>
          </w:p>
          <w:p w14:paraId="6D03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составления на основе первичных учетных документов сводных учетных документов</w:t>
            </w:r>
          </w:p>
          <w:p w14:paraId="6E030000">
            <w:pPr>
              <w:ind/>
              <w:jc w:val="both"/>
              <w:rPr>
                <w:rFonts w:ascii="Times New Roman" w:hAnsi="Times New Roman"/>
                <w:i w:val="1"/>
                <w:sz w:val="24"/>
              </w:rPr>
            </w:pPr>
            <w:r>
              <w:rPr>
                <w:rFonts w:ascii="Times New Roman" w:hAnsi="Times New Roman"/>
                <w:sz w:val="24"/>
              </w:rPr>
              <w:t xml:space="preserve">- </w:t>
            </w:r>
            <w:r>
              <w:rPr>
                <w:rFonts w:ascii="Times New Roman" w:hAnsi="Times New Roman"/>
                <w:sz w:val="24"/>
              </w:rPr>
              <w:t>подготовки первичных учетных документов для передачи в архив</w:t>
            </w:r>
          </w:p>
        </w:tc>
        <w:tc>
          <w:tcPr>
            <w:tcW w:type="dxa" w:w="3709"/>
            <w:tcBorders>
              <w:top w:color="000000" w:sz="4" w:val="single"/>
              <w:left w:color="000000" w:sz="4" w:val="single"/>
              <w:bottom w:color="000000" w:sz="4" w:val="single"/>
              <w:right w:color="000000" w:sz="4" w:val="single"/>
            </w:tcBorders>
            <w:shd w:fill="auto" w:val="clear"/>
          </w:tcPr>
          <w:p w14:paraId="6F03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7003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7103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72030000">
            <w:pPr>
              <w:ind/>
              <w:jc w:val="both"/>
              <w:rPr>
                <w:rFonts w:ascii="Times New Roman" w:hAnsi="Times New Roman"/>
                <w:sz w:val="24"/>
              </w:rPr>
            </w:pPr>
            <w:r>
              <w:rPr>
                <w:rFonts w:ascii="Times New Roman" w:hAnsi="Times New Roman"/>
                <w:sz w:val="24"/>
              </w:rPr>
              <w:t xml:space="preserve">-выполнении тестовых заданий; </w:t>
            </w:r>
          </w:p>
          <w:p w14:paraId="7303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74030000">
            <w:pPr>
              <w:ind/>
              <w:jc w:val="both"/>
              <w:rPr>
                <w:rFonts w:ascii="Times New Roman" w:hAnsi="Times New Roman"/>
                <w:color w:val="000000"/>
                <w:sz w:val="24"/>
              </w:rPr>
            </w:pPr>
            <w:r>
              <w:rPr>
                <w:rFonts w:ascii="Times New Roman" w:hAnsi="Times New Roman"/>
                <w:color w:val="000000"/>
                <w:sz w:val="24"/>
              </w:rPr>
              <w:t xml:space="preserve">Решение практико-ориентированных (ситуационных) заданий. </w:t>
            </w:r>
          </w:p>
          <w:p w14:paraId="75030000">
            <w:pPr>
              <w:ind/>
              <w:jc w:val="both"/>
              <w:rPr>
                <w:rFonts w:ascii="Times New Roman" w:hAnsi="Times New Roman"/>
                <w:sz w:val="24"/>
              </w:rPr>
            </w:pPr>
            <w:r>
              <w:rPr>
                <w:rFonts w:ascii="Times New Roman" w:hAnsi="Times New Roman"/>
                <w:sz w:val="24"/>
              </w:rPr>
              <w:t>Защита отчетов</w:t>
            </w:r>
            <w:r>
              <w:rPr>
                <w:rFonts w:ascii="Times New Roman" w:hAnsi="Times New Roman"/>
                <w:sz w:val="24"/>
              </w:rPr>
              <w:t xml:space="preserve"> по учебной и производственной практике. </w:t>
            </w:r>
          </w:p>
          <w:p w14:paraId="76030000">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jc w:val="both"/>
              <w:rPr>
                <w:rFonts w:ascii="Times New Roman" w:hAnsi="Times New Roman"/>
                <w:sz w:val="24"/>
              </w:rPr>
            </w:pPr>
            <w:r>
              <w:rPr>
                <w:rFonts w:ascii="Times New Roman" w:hAnsi="Times New Roman"/>
                <w:sz w:val="24"/>
              </w:rPr>
              <w:t>Экзамен по профессиональному модулю</w:t>
            </w:r>
          </w:p>
          <w:p w14:paraId="77030000">
            <w:pPr>
              <w:ind/>
              <w:jc w:val="both"/>
              <w:rPr>
                <w:rFonts w:ascii="Times New Roman" w:hAnsi="Times New Roman"/>
                <w:i w:val="1"/>
                <w:sz w:val="24"/>
              </w:rPr>
            </w:pPr>
          </w:p>
        </w:tc>
      </w:tr>
      <w:tr>
        <w:tc>
          <w:tcPr>
            <w:tcW w:type="dxa" w:w="1159"/>
            <w:tcBorders>
              <w:top w:color="000000" w:sz="4" w:val="single"/>
              <w:left w:color="000000" w:sz="4" w:val="single"/>
              <w:bottom w:color="000000" w:sz="4" w:val="single"/>
              <w:right w:color="000000" w:sz="4" w:val="single"/>
            </w:tcBorders>
            <w:shd w:fill="auto" w:val="clear"/>
          </w:tcPr>
          <w:p w14:paraId="78030000">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jc w:val="both"/>
              <w:rPr>
                <w:rFonts w:ascii="Times New Roman" w:hAnsi="Times New Roman"/>
                <w:sz w:val="24"/>
              </w:rPr>
            </w:pPr>
            <w:r>
              <w:rPr>
                <w:rFonts w:ascii="Times New Roman" w:hAnsi="Times New Roman"/>
                <w:sz w:val="24"/>
              </w:rPr>
              <w:t xml:space="preserve">ПК 1.2. </w:t>
            </w:r>
          </w:p>
        </w:tc>
        <w:tc>
          <w:tcPr>
            <w:tcW w:type="dxa" w:w="4400"/>
            <w:tcBorders>
              <w:top w:color="000000" w:sz="4" w:val="single"/>
              <w:left w:color="000000" w:sz="4" w:val="single"/>
              <w:bottom w:color="000000" w:sz="4" w:val="single"/>
              <w:right w:color="000000" w:sz="4" w:val="single"/>
            </w:tcBorders>
            <w:shd w:fill="auto" w:val="clear"/>
          </w:tcPr>
          <w:p w14:paraId="79030000">
            <w:pPr>
              <w:ind/>
              <w:jc w:val="both"/>
              <w:rPr>
                <w:rFonts w:ascii="Times New Roman" w:hAnsi="Times New Roman"/>
                <w:color w:val="000000"/>
                <w:sz w:val="24"/>
              </w:rPr>
            </w:pPr>
            <w:r>
              <w:rPr>
                <w:rFonts w:ascii="Times New Roman" w:hAnsi="Times New Roman"/>
                <w:color w:val="000000"/>
                <w:sz w:val="24"/>
              </w:rPr>
              <w:t xml:space="preserve">Владение методикой: </w:t>
            </w:r>
          </w:p>
          <w:p w14:paraId="7A030000">
            <w:pPr>
              <w:ind/>
              <w:jc w:val="both"/>
              <w:rPr>
                <w:rFonts w:ascii="Times New Roman" w:hAnsi="Times New Roman"/>
                <w:sz w:val="24"/>
              </w:rPr>
            </w:pPr>
            <w:r>
              <w:rPr>
                <w:rFonts w:ascii="Times New Roman" w:hAnsi="Times New Roman"/>
                <w:sz w:val="24"/>
              </w:rPr>
              <w:t>-</w:t>
            </w:r>
            <w:r>
              <w:rPr>
                <w:rFonts w:ascii="Times New Roman" w:hAnsi="Times New Roman"/>
                <w:sz w:val="24"/>
              </w:rPr>
              <w:t>денежного измерения объектов бухгалтерского учета и осуществления соответствующих бухгалтерских записей</w:t>
            </w:r>
          </w:p>
          <w:p w14:paraId="7B03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отражения в бухгалтерском учете результатов переоценки объектов </w:t>
            </w:r>
            <w:r>
              <w:rPr>
                <w:rFonts w:ascii="Times New Roman" w:hAnsi="Times New Roman"/>
                <w:sz w:val="24"/>
              </w:rPr>
              <w:t>бухгалтерского учета, пересчета в рубли выраженной в иностранной валюте стоимости активов и обязательств</w:t>
            </w:r>
          </w:p>
          <w:p w14:paraId="7C030000">
            <w:pPr>
              <w:ind/>
              <w:jc w:val="both"/>
              <w:rPr>
                <w:rFonts w:ascii="Times New Roman" w:hAnsi="Times New Roman"/>
                <w:color w:val="000000"/>
                <w:sz w:val="24"/>
              </w:rPr>
            </w:pPr>
            <w:r>
              <w:rPr>
                <w:rFonts w:ascii="Times New Roman" w:hAnsi="Times New Roman"/>
                <w:color w:val="000000"/>
                <w:sz w:val="24"/>
              </w:rPr>
              <w:t xml:space="preserve">- </w:t>
            </w:r>
            <w:r>
              <w:rPr>
                <w:rFonts w:ascii="Times New Roman" w:hAnsi="Times New Roman"/>
                <w:color w:val="000000"/>
                <w:sz w:val="24"/>
              </w:rPr>
              <w:t>составления отчетных калькуляций, калькуляций себестоимости продукции (работ, услуг), распределения косвенных расходов, начисления амортизации активов в соответствии с учетной политикой экономического субъекта</w:t>
            </w:r>
          </w:p>
        </w:tc>
        <w:tc>
          <w:tcPr>
            <w:tcW w:type="dxa" w:w="3709"/>
            <w:tcBorders>
              <w:top w:color="000000" w:sz="4" w:val="single"/>
              <w:left w:color="000000" w:sz="4" w:val="single"/>
              <w:bottom w:color="000000" w:sz="4" w:val="single"/>
              <w:right w:color="000000" w:sz="4" w:val="single"/>
            </w:tcBorders>
            <w:shd w:fill="auto" w:val="clear"/>
          </w:tcPr>
          <w:p w14:paraId="7D03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7E03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7F03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80030000">
            <w:pPr>
              <w:ind/>
              <w:jc w:val="both"/>
              <w:rPr>
                <w:rFonts w:ascii="Times New Roman" w:hAnsi="Times New Roman"/>
                <w:sz w:val="24"/>
              </w:rPr>
            </w:pPr>
            <w:r>
              <w:rPr>
                <w:rFonts w:ascii="Times New Roman" w:hAnsi="Times New Roman"/>
                <w:sz w:val="24"/>
              </w:rPr>
              <w:t xml:space="preserve">-выполнении тестовых заданий; </w:t>
            </w:r>
          </w:p>
          <w:p w14:paraId="8103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82030000">
            <w:pPr>
              <w:ind/>
              <w:jc w:val="both"/>
              <w:rPr>
                <w:rFonts w:ascii="Times New Roman" w:hAnsi="Times New Roman"/>
                <w:color w:val="000000"/>
                <w:sz w:val="24"/>
              </w:rPr>
            </w:pPr>
            <w:r>
              <w:rPr>
                <w:rFonts w:ascii="Times New Roman" w:hAnsi="Times New Roman"/>
                <w:color w:val="000000"/>
                <w:sz w:val="24"/>
              </w:rPr>
              <w:t xml:space="preserve">Решение практико-ориентированных (ситуационных) заданий. </w:t>
            </w:r>
          </w:p>
          <w:p w14:paraId="83030000">
            <w:pPr>
              <w:ind/>
              <w:jc w:val="both"/>
              <w:rPr>
                <w:rFonts w:ascii="Times New Roman" w:hAnsi="Times New Roman"/>
                <w:sz w:val="24"/>
              </w:rPr>
            </w:pPr>
            <w:r>
              <w:rPr>
                <w:rFonts w:ascii="Times New Roman" w:hAnsi="Times New Roman"/>
                <w:sz w:val="24"/>
              </w:rPr>
              <w:t>Защита отчетов</w:t>
            </w:r>
            <w:r>
              <w:rPr>
                <w:rFonts w:ascii="Times New Roman" w:hAnsi="Times New Roman"/>
                <w:sz w:val="24"/>
              </w:rPr>
              <w:t xml:space="preserve"> по учебной и производственной практике. </w:t>
            </w:r>
          </w:p>
          <w:p w14:paraId="84030000">
            <w:pPr>
              <w:ind/>
              <w:jc w:val="both"/>
              <w:rPr>
                <w:rFonts w:ascii="Times New Roman" w:hAnsi="Times New Roman"/>
                <w:sz w:val="24"/>
              </w:rPr>
            </w:pPr>
            <w:r>
              <w:rPr>
                <w:rFonts w:ascii="Times New Roman" w:hAnsi="Times New Roman"/>
                <w:sz w:val="24"/>
              </w:rPr>
              <w:t>Экзамен по профессиональному модулю</w:t>
            </w:r>
          </w:p>
        </w:tc>
      </w:tr>
      <w:tr>
        <w:tc>
          <w:tcPr>
            <w:tcW w:type="dxa" w:w="1159"/>
            <w:tcBorders>
              <w:top w:color="000000" w:sz="4" w:val="single"/>
              <w:left w:color="000000" w:sz="4" w:val="single"/>
              <w:bottom w:color="000000" w:sz="4" w:val="single"/>
              <w:right w:color="000000" w:sz="4" w:val="single"/>
            </w:tcBorders>
            <w:shd w:fill="auto" w:val="clear"/>
          </w:tcPr>
          <w:p w14:paraId="85030000">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jc w:val="both"/>
              <w:rPr>
                <w:rFonts w:ascii="Times New Roman" w:hAnsi="Times New Roman"/>
                <w:sz w:val="24"/>
              </w:rPr>
            </w:pPr>
            <w:r>
              <w:rPr>
                <w:rFonts w:ascii="Times New Roman" w:hAnsi="Times New Roman"/>
                <w:sz w:val="24"/>
              </w:rPr>
              <w:t xml:space="preserve">ПК 1.3. </w:t>
            </w:r>
          </w:p>
        </w:tc>
        <w:tc>
          <w:tcPr>
            <w:tcW w:type="dxa" w:w="4400"/>
            <w:tcBorders>
              <w:top w:color="000000" w:sz="4" w:val="single"/>
              <w:left w:color="000000" w:sz="4" w:val="single"/>
              <w:bottom w:color="000000" w:sz="4" w:val="single"/>
              <w:right w:color="000000" w:sz="4" w:val="single"/>
            </w:tcBorders>
            <w:shd w:fill="auto" w:val="clear"/>
          </w:tcPr>
          <w:p w14:paraId="86030000">
            <w:pPr>
              <w:ind/>
              <w:jc w:val="both"/>
              <w:rPr>
                <w:rFonts w:ascii="Times New Roman" w:hAnsi="Times New Roman"/>
                <w:color w:val="000000"/>
                <w:sz w:val="24"/>
              </w:rPr>
            </w:pPr>
            <w:r>
              <w:rPr>
                <w:rFonts w:ascii="Times New Roman" w:hAnsi="Times New Roman"/>
                <w:color w:val="000000"/>
                <w:sz w:val="24"/>
              </w:rPr>
              <w:t xml:space="preserve">Владение методикой: </w:t>
            </w:r>
          </w:p>
          <w:p w14:paraId="8703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ведения налогового учета</w:t>
            </w:r>
          </w:p>
          <w:p w14:paraId="88030000">
            <w:pPr>
              <w:ind/>
              <w:jc w:val="both"/>
              <w:rPr>
                <w:rFonts w:ascii="Times New Roman" w:hAnsi="Times New Roman"/>
                <w:color w:val="000000"/>
                <w:sz w:val="24"/>
              </w:rPr>
            </w:pPr>
            <w:r>
              <w:rPr>
                <w:rFonts w:ascii="Times New Roman" w:hAnsi="Times New Roman"/>
                <w:color w:val="000000"/>
                <w:sz w:val="24"/>
              </w:rPr>
              <w:t xml:space="preserve">- </w:t>
            </w:r>
            <w:r>
              <w:rPr>
                <w:rFonts w:ascii="Times New Roman" w:hAnsi="Times New Roman"/>
                <w:color w:val="000000"/>
                <w:sz w:val="24"/>
              </w:rPr>
              <w:t>исчисления и уплаты взносов в государственные внебюджетные фонды</w:t>
            </w:r>
          </w:p>
        </w:tc>
        <w:tc>
          <w:tcPr>
            <w:tcW w:type="dxa" w:w="3709"/>
            <w:tcBorders>
              <w:top w:color="000000" w:sz="4" w:val="single"/>
              <w:left w:color="000000" w:sz="4" w:val="single"/>
              <w:bottom w:color="000000" w:sz="4" w:val="single"/>
              <w:right w:color="000000" w:sz="4" w:val="single"/>
            </w:tcBorders>
            <w:shd w:fill="auto" w:val="clear"/>
          </w:tcPr>
          <w:p w14:paraId="8903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8A03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8B03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8C030000">
            <w:pPr>
              <w:ind/>
              <w:jc w:val="both"/>
              <w:rPr>
                <w:rFonts w:ascii="Times New Roman" w:hAnsi="Times New Roman"/>
                <w:sz w:val="24"/>
              </w:rPr>
            </w:pPr>
            <w:r>
              <w:rPr>
                <w:rFonts w:ascii="Times New Roman" w:hAnsi="Times New Roman"/>
                <w:sz w:val="24"/>
              </w:rPr>
              <w:t xml:space="preserve">-выполнении тестовых заданий; </w:t>
            </w:r>
          </w:p>
          <w:p w14:paraId="8D03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8E030000">
            <w:pPr>
              <w:ind/>
              <w:jc w:val="both"/>
              <w:rPr>
                <w:rFonts w:ascii="Times New Roman" w:hAnsi="Times New Roman"/>
                <w:color w:val="000000"/>
                <w:sz w:val="24"/>
              </w:rPr>
            </w:pPr>
            <w:r>
              <w:rPr>
                <w:rFonts w:ascii="Times New Roman" w:hAnsi="Times New Roman"/>
                <w:color w:val="000000"/>
                <w:sz w:val="24"/>
              </w:rPr>
              <w:t>Решение практико-ориентированных (ситуационных) заданий.</w:t>
            </w:r>
          </w:p>
          <w:p w14:paraId="8F030000">
            <w:pPr>
              <w:ind/>
              <w:jc w:val="both"/>
              <w:rPr>
                <w:rFonts w:ascii="Times New Roman" w:hAnsi="Times New Roman"/>
                <w:sz w:val="24"/>
              </w:rPr>
            </w:pPr>
            <w:r>
              <w:rPr>
                <w:rFonts w:ascii="Times New Roman" w:hAnsi="Times New Roman"/>
                <w:sz w:val="24"/>
              </w:rPr>
              <w:t>Экспертная проверка выполнения самостоятельной внеаудиторной работы.</w:t>
            </w:r>
          </w:p>
          <w:p w14:paraId="90030000">
            <w:pPr>
              <w:ind/>
              <w:jc w:val="both"/>
              <w:rPr>
                <w:rFonts w:ascii="Times New Roman" w:hAnsi="Times New Roman"/>
                <w:color w:val="000000"/>
                <w:sz w:val="24"/>
              </w:rPr>
            </w:pPr>
            <w:r>
              <w:rPr>
                <w:rFonts w:ascii="Times New Roman" w:hAnsi="Times New Roman"/>
                <w:color w:val="000000"/>
                <w:sz w:val="24"/>
              </w:rPr>
              <w:t>Решение кейсов</w:t>
            </w:r>
          </w:p>
          <w:p w14:paraId="91030000">
            <w:pPr>
              <w:ind/>
              <w:jc w:val="both"/>
              <w:rPr>
                <w:rFonts w:ascii="Times New Roman" w:hAnsi="Times New Roman"/>
                <w:sz w:val="24"/>
              </w:rPr>
            </w:pPr>
            <w:r>
              <w:rPr>
                <w:rFonts w:ascii="Times New Roman" w:hAnsi="Times New Roman"/>
                <w:sz w:val="24"/>
              </w:rPr>
              <w:t>Защита отчетов</w:t>
            </w:r>
            <w:r>
              <w:rPr>
                <w:rFonts w:ascii="Times New Roman" w:hAnsi="Times New Roman"/>
                <w:sz w:val="24"/>
              </w:rPr>
              <w:t xml:space="preserve"> по учебной и производственной практике. </w:t>
            </w:r>
          </w:p>
          <w:p w14:paraId="92030000">
            <w:pPr>
              <w:ind/>
              <w:jc w:val="both"/>
              <w:rPr>
                <w:rFonts w:ascii="Times New Roman" w:hAnsi="Times New Roman"/>
                <w:sz w:val="24"/>
              </w:rPr>
            </w:pPr>
            <w:r>
              <w:rPr>
                <w:rFonts w:ascii="Times New Roman" w:hAnsi="Times New Roman"/>
                <w:sz w:val="24"/>
              </w:rPr>
              <w:t>Экзамен по профессиональному модулю.</w:t>
            </w:r>
          </w:p>
        </w:tc>
      </w:tr>
      <w:tr>
        <w:tc>
          <w:tcPr>
            <w:tcW w:type="dxa" w:w="1159"/>
            <w:tcBorders>
              <w:top w:color="000000" w:sz="4" w:val="single"/>
              <w:left w:color="000000" w:sz="4" w:val="single"/>
              <w:bottom w:color="000000" w:sz="4" w:val="single"/>
              <w:right w:color="000000" w:sz="4" w:val="single"/>
            </w:tcBorders>
            <w:shd w:fill="auto" w:val="clear"/>
          </w:tcPr>
          <w:p w14:paraId="93030000">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jc w:val="both"/>
              <w:rPr>
                <w:rFonts w:ascii="Times New Roman" w:hAnsi="Times New Roman"/>
                <w:sz w:val="24"/>
              </w:rPr>
            </w:pPr>
            <w:r>
              <w:rPr>
                <w:rFonts w:ascii="Times New Roman" w:hAnsi="Times New Roman"/>
                <w:sz w:val="24"/>
              </w:rPr>
              <w:t>ПК 1.4. </w:t>
            </w:r>
          </w:p>
        </w:tc>
        <w:tc>
          <w:tcPr>
            <w:tcW w:type="dxa" w:w="4400"/>
            <w:tcBorders>
              <w:top w:color="000000" w:sz="4" w:val="single"/>
              <w:left w:color="000000" w:sz="4" w:val="single"/>
              <w:bottom w:color="000000" w:sz="4" w:val="single"/>
              <w:right w:color="000000" w:sz="4" w:val="single"/>
            </w:tcBorders>
            <w:shd w:fill="auto" w:val="clear"/>
          </w:tcPr>
          <w:p w14:paraId="94030000">
            <w:pPr>
              <w:ind/>
              <w:jc w:val="both"/>
              <w:rPr>
                <w:rFonts w:ascii="Times New Roman" w:hAnsi="Times New Roman"/>
                <w:sz w:val="24"/>
              </w:rPr>
            </w:pPr>
            <w:r>
              <w:rPr>
                <w:rFonts w:ascii="Times New Roman" w:hAnsi="Times New Roman"/>
                <w:color w:val="000000"/>
                <w:sz w:val="24"/>
              </w:rPr>
              <w:t>Владение методикой применения рабочего плана счетов с учетом масштабов и видов деятельности экономического субъекта</w:t>
            </w:r>
          </w:p>
          <w:p w14:paraId="95030000">
            <w:pPr>
              <w:ind/>
              <w:jc w:val="both"/>
              <w:rPr>
                <w:rFonts w:ascii="Times New Roman" w:hAnsi="Times New Roman"/>
                <w:sz w:val="24"/>
              </w:rPr>
            </w:pPr>
          </w:p>
        </w:tc>
        <w:tc>
          <w:tcPr>
            <w:tcW w:type="dxa" w:w="3709"/>
            <w:tcBorders>
              <w:top w:color="000000" w:sz="4" w:val="single"/>
              <w:left w:color="000000" w:sz="4" w:val="single"/>
              <w:bottom w:color="000000" w:sz="4" w:val="single"/>
              <w:right w:color="000000" w:sz="4" w:val="single"/>
            </w:tcBorders>
            <w:shd w:fill="auto" w:val="clear"/>
          </w:tcPr>
          <w:p w14:paraId="9603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9703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9803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99030000">
            <w:pPr>
              <w:ind/>
              <w:jc w:val="both"/>
              <w:rPr>
                <w:rFonts w:ascii="Times New Roman" w:hAnsi="Times New Roman"/>
                <w:sz w:val="24"/>
              </w:rPr>
            </w:pPr>
            <w:r>
              <w:rPr>
                <w:rFonts w:ascii="Times New Roman" w:hAnsi="Times New Roman"/>
                <w:sz w:val="24"/>
              </w:rPr>
              <w:t xml:space="preserve">-выполнении тестовых заданий; </w:t>
            </w:r>
          </w:p>
          <w:p w14:paraId="9A03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9B030000">
            <w:pPr>
              <w:ind/>
              <w:jc w:val="both"/>
              <w:rPr>
                <w:rFonts w:ascii="Times New Roman" w:hAnsi="Times New Roman"/>
                <w:sz w:val="24"/>
              </w:rPr>
            </w:pPr>
            <w:r>
              <w:rPr>
                <w:rFonts w:ascii="Times New Roman" w:hAnsi="Times New Roman"/>
                <w:sz w:val="24"/>
              </w:rPr>
              <w:t>Решение практико-ориентированных ситуационных заданий</w:t>
            </w:r>
          </w:p>
          <w:p w14:paraId="9C030000">
            <w:pPr>
              <w:ind/>
              <w:jc w:val="both"/>
              <w:rPr>
                <w:rFonts w:ascii="Times New Roman" w:hAnsi="Times New Roman"/>
                <w:sz w:val="24"/>
              </w:rPr>
            </w:pPr>
            <w:r>
              <w:rPr>
                <w:rFonts w:ascii="Times New Roman" w:hAnsi="Times New Roman"/>
                <w:sz w:val="24"/>
              </w:rPr>
              <w:t>Экспертная проверка выполнения самостоятельной внеаудиторной работы.</w:t>
            </w:r>
          </w:p>
          <w:p w14:paraId="9D030000">
            <w:pPr>
              <w:ind/>
              <w:jc w:val="both"/>
              <w:rPr>
                <w:rFonts w:ascii="Times New Roman" w:hAnsi="Times New Roman"/>
                <w:color w:val="000000"/>
                <w:sz w:val="24"/>
              </w:rPr>
            </w:pPr>
            <w:r>
              <w:rPr>
                <w:rFonts w:ascii="Times New Roman" w:hAnsi="Times New Roman"/>
                <w:color w:val="000000"/>
                <w:sz w:val="24"/>
              </w:rPr>
              <w:t>Решение кейсов</w:t>
            </w:r>
          </w:p>
          <w:p w14:paraId="9E030000">
            <w:pPr>
              <w:ind/>
              <w:jc w:val="both"/>
              <w:rPr>
                <w:rFonts w:ascii="Times New Roman" w:hAnsi="Times New Roman"/>
                <w:sz w:val="24"/>
              </w:rPr>
            </w:pPr>
            <w:r>
              <w:rPr>
                <w:rFonts w:ascii="Times New Roman" w:hAnsi="Times New Roman"/>
                <w:sz w:val="24"/>
              </w:rPr>
              <w:t>Защита отчетов</w:t>
            </w:r>
            <w:r>
              <w:rPr>
                <w:rFonts w:ascii="Times New Roman" w:hAnsi="Times New Roman"/>
                <w:sz w:val="24"/>
              </w:rPr>
              <w:t xml:space="preserve"> по учебной и производственной практике. </w:t>
            </w:r>
          </w:p>
          <w:p w14:paraId="9F030000">
            <w:pPr>
              <w:ind/>
              <w:jc w:val="both"/>
              <w:rPr>
                <w:rFonts w:ascii="Times New Roman" w:hAnsi="Times New Roman"/>
                <w:sz w:val="24"/>
              </w:rPr>
            </w:pPr>
            <w:r>
              <w:rPr>
                <w:rFonts w:ascii="Times New Roman" w:hAnsi="Times New Roman"/>
                <w:sz w:val="24"/>
              </w:rPr>
              <w:t>Экзамен по профессиональному модулю.</w:t>
            </w:r>
          </w:p>
        </w:tc>
      </w:tr>
      <w:tr>
        <w:tc>
          <w:tcPr>
            <w:tcW w:type="dxa" w:w="1159"/>
            <w:tcBorders>
              <w:top w:color="000000" w:sz="4" w:val="single"/>
              <w:left w:color="000000" w:sz="4" w:val="single"/>
              <w:bottom w:color="000000" w:sz="4" w:val="single"/>
              <w:right w:color="000000" w:sz="4" w:val="single"/>
            </w:tcBorders>
            <w:shd w:fill="auto" w:val="clear"/>
          </w:tcPr>
          <w:p w14:paraId="A0030000">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jc w:val="both"/>
              <w:rPr>
                <w:rFonts w:ascii="Times New Roman" w:hAnsi="Times New Roman"/>
                <w:sz w:val="24"/>
              </w:rPr>
            </w:pPr>
            <w:r>
              <w:rPr>
                <w:rFonts w:ascii="Times New Roman" w:hAnsi="Times New Roman"/>
                <w:sz w:val="24"/>
              </w:rPr>
              <w:t xml:space="preserve">ПК 1.5 </w:t>
            </w:r>
          </w:p>
        </w:tc>
        <w:tc>
          <w:tcPr>
            <w:tcW w:type="dxa" w:w="4400"/>
            <w:tcBorders>
              <w:top w:color="000000" w:sz="4" w:val="single"/>
              <w:left w:color="000000" w:sz="4" w:val="single"/>
              <w:bottom w:color="000000" w:sz="4" w:val="single"/>
              <w:right w:color="000000" w:sz="4" w:val="single"/>
            </w:tcBorders>
            <w:shd w:fill="auto" w:val="clear"/>
          </w:tcPr>
          <w:p w14:paraId="A1030000">
            <w:pPr>
              <w:ind/>
              <w:jc w:val="both"/>
              <w:rPr>
                <w:rFonts w:ascii="Times New Roman" w:hAnsi="Times New Roman"/>
                <w:sz w:val="24"/>
              </w:rPr>
            </w:pPr>
            <w:r>
              <w:rPr>
                <w:rFonts w:ascii="Times New Roman" w:hAnsi="Times New Roman"/>
                <w:sz w:val="24"/>
              </w:rPr>
              <w:t>Владение методикой</w:t>
            </w:r>
          </w:p>
          <w:p w14:paraId="A203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регистрации данных, содержащихся в первичных учетных документах, в регистрах бухгалтерского учета</w:t>
            </w:r>
          </w:p>
          <w:p w14:paraId="A303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подсчета в регистрах бухгалтерского учета итогов и остатков по счетам синтетического и аналитического учета, закрытия оборотов по счетам бухгалтерского учета</w:t>
            </w:r>
          </w:p>
          <w:p w14:paraId="A403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контроля тождества данных аналитического учета оборотам и остаткам по счетам синтетического учета</w:t>
            </w:r>
          </w:p>
          <w:p w14:paraId="A503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составления </w:t>
            </w:r>
            <w:r>
              <w:rPr>
                <w:rFonts w:ascii="Times New Roman" w:hAnsi="Times New Roman"/>
                <w:sz w:val="24"/>
              </w:rPr>
              <w:t>оборотно</w:t>
            </w:r>
            <w:r>
              <w:rPr>
                <w:rFonts w:ascii="Times New Roman" w:hAnsi="Times New Roman"/>
                <w:sz w:val="24"/>
              </w:rPr>
              <w:t>-сальдовой ведомости и главной книги</w:t>
            </w:r>
          </w:p>
          <w:p w14:paraId="A6030000">
            <w:pPr>
              <w:ind/>
              <w:jc w:val="both"/>
              <w:rPr>
                <w:rFonts w:ascii="Times New Roman" w:hAnsi="Times New Roman"/>
                <w:sz w:val="24"/>
              </w:rPr>
            </w:pPr>
            <w:r>
              <w:rPr>
                <w:rFonts w:ascii="Times New Roman" w:hAnsi="Times New Roman"/>
                <w:sz w:val="24"/>
              </w:rPr>
              <w:t xml:space="preserve">- </w:t>
            </w:r>
            <w:r>
              <w:rPr>
                <w:rFonts w:ascii="Times New Roman" w:hAnsi="Times New Roman"/>
                <w:sz w:val="24"/>
              </w:rPr>
              <w:t>систематизации и комплектование регистров бухгалтерского учета за отчетный период</w:t>
            </w:r>
          </w:p>
          <w:p w14:paraId="A7030000">
            <w:pPr>
              <w:ind/>
              <w:jc w:val="both"/>
              <w:rPr>
                <w:rFonts w:ascii="Times New Roman" w:hAnsi="Times New Roman"/>
                <w:sz w:val="24"/>
              </w:rPr>
            </w:pPr>
            <w:r>
              <w:rPr>
                <w:rFonts w:ascii="Times New Roman" w:hAnsi="Times New Roman"/>
                <w:sz w:val="24"/>
              </w:rPr>
              <w:t>- передачи регистров бухгалтерского учета в архив</w:t>
            </w:r>
          </w:p>
          <w:p w14:paraId="A8030000">
            <w:pPr>
              <w:ind/>
              <w:jc w:val="both"/>
              <w:rPr>
                <w:rFonts w:ascii="Times New Roman" w:hAnsi="Times New Roman"/>
                <w:color w:val="000000"/>
                <w:sz w:val="24"/>
              </w:rPr>
            </w:pPr>
            <w:r>
              <w:rPr>
                <w:rFonts w:ascii="Times New Roman" w:hAnsi="Times New Roman"/>
                <w:color w:val="000000"/>
                <w:sz w:val="24"/>
              </w:rPr>
              <w:t>- отражения в бухгалтерском учете выявленных расхождений между фактическим наличием объектов и данными регистров бухгалтерского учета</w:t>
            </w:r>
          </w:p>
        </w:tc>
        <w:tc>
          <w:tcPr>
            <w:tcW w:type="dxa" w:w="3709"/>
            <w:tcBorders>
              <w:top w:color="000000" w:sz="4" w:val="single"/>
              <w:left w:color="000000" w:sz="4" w:val="single"/>
              <w:bottom w:color="000000" w:sz="4" w:val="single"/>
              <w:right w:color="000000" w:sz="4" w:val="single"/>
            </w:tcBorders>
            <w:shd w:fill="auto" w:val="clear"/>
          </w:tcPr>
          <w:p w14:paraId="A903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AA03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AB03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AC030000">
            <w:pPr>
              <w:ind/>
              <w:jc w:val="both"/>
              <w:rPr>
                <w:rFonts w:ascii="Times New Roman" w:hAnsi="Times New Roman"/>
                <w:sz w:val="24"/>
              </w:rPr>
            </w:pPr>
            <w:r>
              <w:rPr>
                <w:rFonts w:ascii="Times New Roman" w:hAnsi="Times New Roman"/>
                <w:sz w:val="24"/>
              </w:rPr>
              <w:t xml:space="preserve">-выполнении тестовых заданий; </w:t>
            </w:r>
          </w:p>
          <w:p w14:paraId="AD03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AE030000">
            <w:pPr>
              <w:ind/>
              <w:jc w:val="both"/>
              <w:rPr>
                <w:rFonts w:ascii="Times New Roman" w:hAnsi="Times New Roman"/>
                <w:color w:val="000000"/>
                <w:sz w:val="24"/>
              </w:rPr>
            </w:pPr>
            <w:r>
              <w:rPr>
                <w:rFonts w:ascii="Times New Roman" w:hAnsi="Times New Roman"/>
                <w:color w:val="000000"/>
                <w:sz w:val="24"/>
              </w:rPr>
              <w:t xml:space="preserve">Решение практико-ориентированных (ситуационных) заданий. </w:t>
            </w:r>
          </w:p>
          <w:p w14:paraId="AF030000">
            <w:pPr>
              <w:ind/>
              <w:jc w:val="both"/>
              <w:rPr>
                <w:rFonts w:ascii="Times New Roman" w:hAnsi="Times New Roman"/>
                <w:sz w:val="24"/>
              </w:rPr>
            </w:pPr>
            <w:r>
              <w:rPr>
                <w:rFonts w:ascii="Times New Roman" w:hAnsi="Times New Roman"/>
                <w:sz w:val="24"/>
              </w:rPr>
              <w:t>Защита отчетов</w:t>
            </w:r>
            <w:r>
              <w:rPr>
                <w:rFonts w:ascii="Times New Roman" w:hAnsi="Times New Roman"/>
                <w:sz w:val="24"/>
              </w:rPr>
              <w:t xml:space="preserve"> по учебной и производственной практике. </w:t>
            </w:r>
          </w:p>
          <w:p w14:paraId="B0030000">
            <w:pPr>
              <w:ind/>
              <w:jc w:val="both"/>
              <w:rPr>
                <w:rFonts w:ascii="Times New Roman" w:hAnsi="Times New Roman"/>
                <w:sz w:val="24"/>
              </w:rPr>
            </w:pPr>
            <w:r>
              <w:rPr>
                <w:rFonts w:ascii="Times New Roman" w:hAnsi="Times New Roman"/>
                <w:sz w:val="24"/>
              </w:rPr>
              <w:t>Экзамен по профессиональному модулю</w:t>
            </w:r>
          </w:p>
        </w:tc>
      </w:tr>
      <w:tr>
        <w:tc>
          <w:tcPr>
            <w:tcW w:type="dxa" w:w="1159"/>
            <w:tcBorders>
              <w:top w:color="000000" w:sz="4" w:val="single"/>
              <w:left w:color="000000" w:sz="4" w:val="single"/>
              <w:bottom w:color="000000" w:sz="4" w:val="single"/>
              <w:right w:color="000000" w:sz="4" w:val="single"/>
            </w:tcBorders>
            <w:shd w:fill="auto" w:val="clear"/>
          </w:tcPr>
          <w:p w14:paraId="B1030000">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jc w:val="both"/>
              <w:rPr>
                <w:rFonts w:ascii="Times New Roman" w:hAnsi="Times New Roman"/>
                <w:sz w:val="24"/>
              </w:rPr>
            </w:pPr>
            <w:r>
              <w:rPr>
                <w:rFonts w:ascii="Times New Roman" w:hAnsi="Times New Roman"/>
                <w:sz w:val="24"/>
              </w:rPr>
              <w:t xml:space="preserve">ПК 1.6 </w:t>
            </w:r>
          </w:p>
        </w:tc>
        <w:tc>
          <w:tcPr>
            <w:tcW w:type="dxa" w:w="4400"/>
            <w:tcBorders>
              <w:top w:color="000000" w:sz="4" w:val="single"/>
              <w:left w:color="000000" w:sz="4" w:val="single"/>
              <w:bottom w:color="000000" w:sz="4" w:val="single"/>
              <w:right w:color="000000" w:sz="4" w:val="single"/>
            </w:tcBorders>
            <w:shd w:fill="auto" w:val="clear"/>
          </w:tcPr>
          <w:p w14:paraId="B2030000">
            <w:pPr>
              <w:ind/>
              <w:jc w:val="both"/>
              <w:rPr>
                <w:rFonts w:ascii="Times New Roman" w:hAnsi="Times New Roman"/>
                <w:sz w:val="24"/>
              </w:rPr>
            </w:pPr>
            <w:r>
              <w:rPr>
                <w:rFonts w:ascii="Times New Roman" w:hAnsi="Times New Roman"/>
                <w:sz w:val="24"/>
              </w:rPr>
              <w:t>Владение методикой</w:t>
            </w:r>
          </w:p>
          <w:p w14:paraId="B3030000">
            <w:pPr>
              <w:widowControl w:val="0"/>
              <w:ind/>
              <w:jc w:val="both"/>
              <w:rPr>
                <w:rFonts w:ascii="Times New Roman" w:hAnsi="Times New Roman"/>
                <w:sz w:val="24"/>
              </w:rPr>
            </w:pPr>
            <w:r>
              <w:rPr>
                <w:rFonts w:ascii="Times New Roman" w:hAnsi="Times New Roman"/>
                <w:b w:val="1"/>
                <w:sz w:val="24"/>
              </w:rPr>
              <w:t xml:space="preserve">- </w:t>
            </w:r>
            <w:r>
              <w:rPr>
                <w:rFonts w:ascii="Times New Roman" w:hAnsi="Times New Roman"/>
                <w:sz w:val="24"/>
              </w:rPr>
              <w:t>настройки автоматизированной системы бухгалтерского учета на предприятии при применении различных режимов налогообложения</w:t>
            </w:r>
          </w:p>
          <w:p w14:paraId="B4030000">
            <w:pPr>
              <w:ind/>
              <w:jc w:val="both"/>
              <w:rPr>
                <w:rFonts w:ascii="Times New Roman" w:hAnsi="Times New Roman"/>
                <w:sz w:val="24"/>
              </w:rPr>
            </w:pPr>
            <w:r>
              <w:rPr>
                <w:rFonts w:ascii="Times New Roman" w:hAnsi="Times New Roman"/>
                <w:sz w:val="24"/>
              </w:rPr>
              <w:t>- учета в автоматизированной системе активов и обязательств организации</w:t>
            </w:r>
          </w:p>
        </w:tc>
        <w:tc>
          <w:tcPr>
            <w:tcW w:type="dxa" w:w="3709"/>
            <w:tcBorders>
              <w:top w:color="000000" w:sz="4" w:val="single"/>
              <w:left w:color="000000" w:sz="4" w:val="single"/>
              <w:bottom w:color="000000" w:sz="4" w:val="single"/>
              <w:right w:color="000000" w:sz="4" w:val="single"/>
            </w:tcBorders>
            <w:shd w:fill="auto" w:val="clear"/>
          </w:tcPr>
          <w:p w14:paraId="B503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B603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B703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B8030000">
            <w:pPr>
              <w:ind/>
              <w:jc w:val="both"/>
              <w:rPr>
                <w:rFonts w:ascii="Times New Roman" w:hAnsi="Times New Roman"/>
                <w:sz w:val="24"/>
              </w:rPr>
            </w:pPr>
            <w:r>
              <w:rPr>
                <w:rFonts w:ascii="Times New Roman" w:hAnsi="Times New Roman"/>
                <w:sz w:val="24"/>
              </w:rPr>
              <w:t xml:space="preserve">-выполнении тестовых заданий; </w:t>
            </w:r>
          </w:p>
          <w:p w14:paraId="B903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BA030000">
            <w:pPr>
              <w:ind/>
              <w:jc w:val="both"/>
              <w:rPr>
                <w:rFonts w:ascii="Times New Roman" w:hAnsi="Times New Roman"/>
                <w:color w:val="000000"/>
                <w:sz w:val="24"/>
              </w:rPr>
            </w:pPr>
            <w:r>
              <w:rPr>
                <w:rFonts w:ascii="Times New Roman" w:hAnsi="Times New Roman"/>
                <w:color w:val="000000"/>
                <w:sz w:val="24"/>
              </w:rPr>
              <w:t xml:space="preserve">Решение практико-ориентированных (ситуационных) заданий. </w:t>
            </w:r>
          </w:p>
          <w:p w14:paraId="BB030000">
            <w:pPr>
              <w:ind/>
              <w:jc w:val="both"/>
              <w:rPr>
                <w:rFonts w:ascii="Times New Roman" w:hAnsi="Times New Roman"/>
                <w:sz w:val="24"/>
              </w:rPr>
            </w:pPr>
            <w:r>
              <w:rPr>
                <w:rFonts w:ascii="Times New Roman" w:hAnsi="Times New Roman"/>
                <w:sz w:val="24"/>
              </w:rPr>
              <w:t>Защита отчетов</w:t>
            </w:r>
            <w:r>
              <w:rPr>
                <w:rFonts w:ascii="Times New Roman" w:hAnsi="Times New Roman"/>
                <w:sz w:val="24"/>
              </w:rPr>
              <w:t xml:space="preserve"> по учебной и производственной практике. </w:t>
            </w:r>
          </w:p>
          <w:p w14:paraId="BC030000">
            <w:pPr>
              <w:ind/>
              <w:jc w:val="both"/>
              <w:rPr>
                <w:rFonts w:ascii="Times New Roman" w:hAnsi="Times New Roman"/>
                <w:sz w:val="24"/>
              </w:rPr>
            </w:pPr>
            <w:r>
              <w:rPr>
                <w:rFonts w:ascii="Times New Roman" w:hAnsi="Times New Roman"/>
                <w:sz w:val="24"/>
              </w:rPr>
              <w:t>Экзамен по профессиональному модулю</w:t>
            </w:r>
          </w:p>
        </w:tc>
      </w:tr>
    </w:tbl>
    <w:p w14:paraId="BD030000">
      <w:pPr>
        <w:rPr>
          <w:rFonts w:ascii="Times New Roman" w:hAnsi="Times New Roman"/>
          <w:b w:val="1"/>
          <w:sz w:val="18"/>
        </w:rPr>
      </w:pPr>
    </w:p>
    <w:p w14:paraId="BE030000">
      <w:pPr>
        <w:ind/>
        <w:jc w:val="right"/>
        <w:rPr>
          <w:rFonts w:ascii="Times New Roman" w:hAnsi="Times New Roman"/>
          <w:b w:val="1"/>
          <w:sz w:val="24"/>
        </w:rPr>
      </w:pPr>
      <w:r>
        <w:rPr>
          <w:rFonts w:ascii="Times New Roman" w:hAnsi="Times New Roman"/>
          <w:b w:val="1"/>
          <w:sz w:val="24"/>
        </w:rPr>
        <w:br w:type="page"/>
      </w:r>
    </w:p>
    <w:p w14:paraId="BF030000">
      <w:pPr>
        <w:ind/>
        <w:jc w:val="right"/>
        <w:rPr>
          <w:rFonts w:ascii="Times New Roman" w:hAnsi="Times New Roman"/>
          <w:b w:val="1"/>
          <w:sz w:val="24"/>
        </w:rPr>
      </w:pPr>
      <w:r>
        <w:rPr>
          <w:rFonts w:ascii="Times New Roman" w:hAnsi="Times New Roman"/>
          <w:b w:val="1"/>
          <w:sz w:val="24"/>
        </w:rPr>
        <w:t>Приложение 1.2</w:t>
      </w:r>
    </w:p>
    <w:p w14:paraId="C0030000">
      <w:pPr>
        <w:ind/>
        <w:jc w:val="right"/>
        <w:rPr>
          <w:rFonts w:ascii="Times New Roman" w:hAnsi="Times New Roman"/>
          <w:b w:val="1"/>
          <w:sz w:val="24"/>
        </w:rPr>
      </w:pPr>
      <w:r>
        <w:rPr>
          <w:rFonts w:ascii="Times New Roman" w:hAnsi="Times New Roman"/>
          <w:b w:val="1"/>
          <w:sz w:val="24"/>
        </w:rPr>
        <w:t>к ПОП</w:t>
      </w:r>
      <w:r>
        <w:rPr>
          <w:rFonts w:ascii="Times New Roman" w:hAnsi="Times New Roman"/>
          <w:b w:val="1"/>
          <w:sz w:val="24"/>
        </w:rPr>
        <w:t>-П</w:t>
      </w:r>
      <w:r>
        <w:rPr>
          <w:rFonts w:ascii="Times New Roman" w:hAnsi="Times New Roman"/>
          <w:b w:val="1"/>
          <w:sz w:val="24"/>
        </w:rPr>
        <w:t xml:space="preserve"> по специальности </w:t>
      </w:r>
      <w:r>
        <w:rPr>
          <w:rFonts w:ascii="Times New Roman" w:hAnsi="Times New Roman"/>
          <w:b w:val="1"/>
          <w:sz w:val="24"/>
        </w:rPr>
        <w:br/>
      </w:r>
      <w:r>
        <w:rPr>
          <w:rFonts w:ascii="Times New Roman" w:hAnsi="Times New Roman"/>
          <w:b w:val="1"/>
          <w:sz w:val="24"/>
        </w:rPr>
        <w:t>38.02.01 Экономика и бухгалтерский учет (по отраслям)</w:t>
      </w:r>
    </w:p>
    <w:p w14:paraId="C1030000">
      <w:pPr>
        <w:ind/>
        <w:jc w:val="right"/>
        <w:rPr>
          <w:rFonts w:ascii="Times New Roman" w:hAnsi="Times New Roman"/>
          <w:b w:val="1"/>
          <w:color w:val="0070C0"/>
          <w:sz w:val="24"/>
        </w:rPr>
      </w:pPr>
    </w:p>
    <w:p w14:paraId="C2030000">
      <w:pPr>
        <w:ind/>
        <w:jc w:val="right"/>
        <w:rPr>
          <w:rFonts w:ascii="Times New Roman" w:hAnsi="Times New Roman"/>
          <w:b w:val="1"/>
          <w:color w:val="0070C0"/>
          <w:sz w:val="24"/>
        </w:rPr>
      </w:pPr>
    </w:p>
    <w:p w14:paraId="C3030000">
      <w:pPr>
        <w:ind/>
        <w:jc w:val="right"/>
        <w:rPr>
          <w:rFonts w:ascii="Times New Roman" w:hAnsi="Times New Roman"/>
          <w:b w:val="1"/>
          <w:color w:val="0070C0"/>
          <w:sz w:val="24"/>
        </w:rPr>
      </w:pPr>
    </w:p>
    <w:p w14:paraId="C4030000">
      <w:pPr>
        <w:ind/>
        <w:jc w:val="right"/>
        <w:rPr>
          <w:rFonts w:ascii="Times New Roman" w:hAnsi="Times New Roman"/>
          <w:b w:val="1"/>
          <w:color w:val="0070C0"/>
          <w:sz w:val="24"/>
        </w:rPr>
      </w:pPr>
    </w:p>
    <w:p w14:paraId="C5030000">
      <w:pPr>
        <w:ind/>
        <w:jc w:val="right"/>
        <w:rPr>
          <w:rFonts w:ascii="Times New Roman" w:hAnsi="Times New Roman"/>
          <w:b w:val="1"/>
          <w:color w:val="0070C0"/>
          <w:sz w:val="24"/>
        </w:rPr>
      </w:pPr>
    </w:p>
    <w:p w14:paraId="C6030000">
      <w:pPr>
        <w:ind/>
        <w:jc w:val="right"/>
        <w:rPr>
          <w:rFonts w:ascii="Times New Roman" w:hAnsi="Times New Roman"/>
          <w:b w:val="1"/>
          <w:color w:val="0070C0"/>
          <w:sz w:val="24"/>
        </w:rPr>
      </w:pPr>
    </w:p>
    <w:p w14:paraId="C7030000">
      <w:pPr>
        <w:ind/>
        <w:jc w:val="right"/>
        <w:rPr>
          <w:rFonts w:ascii="Times New Roman" w:hAnsi="Times New Roman"/>
          <w:b w:val="1"/>
          <w:color w:val="0070C0"/>
          <w:sz w:val="24"/>
        </w:rPr>
      </w:pPr>
    </w:p>
    <w:p w14:paraId="C8030000">
      <w:pPr>
        <w:ind/>
        <w:jc w:val="right"/>
        <w:rPr>
          <w:rFonts w:ascii="Times New Roman" w:hAnsi="Times New Roman"/>
          <w:b w:val="1"/>
          <w:color w:val="0070C0"/>
          <w:sz w:val="24"/>
        </w:rPr>
      </w:pPr>
    </w:p>
    <w:p w14:paraId="C9030000">
      <w:pPr>
        <w:ind/>
        <w:jc w:val="right"/>
        <w:rPr>
          <w:rFonts w:ascii="Times New Roman" w:hAnsi="Times New Roman"/>
          <w:b w:val="1"/>
          <w:color w:val="0070C0"/>
          <w:sz w:val="24"/>
        </w:rPr>
      </w:pPr>
    </w:p>
    <w:p w14:paraId="CA030000">
      <w:pPr>
        <w:ind/>
        <w:jc w:val="right"/>
        <w:rPr>
          <w:rFonts w:ascii="Times New Roman" w:hAnsi="Times New Roman"/>
          <w:b w:val="1"/>
          <w:color w:val="0070C0"/>
          <w:sz w:val="24"/>
        </w:rPr>
      </w:pPr>
    </w:p>
    <w:p w14:paraId="CB030000">
      <w:pPr>
        <w:ind/>
        <w:jc w:val="right"/>
        <w:rPr>
          <w:rFonts w:ascii="Times New Roman" w:hAnsi="Times New Roman"/>
          <w:b w:val="1"/>
          <w:color w:val="0070C0"/>
          <w:sz w:val="24"/>
        </w:rPr>
      </w:pPr>
    </w:p>
    <w:p w14:paraId="CC030000">
      <w:pPr>
        <w:ind/>
        <w:jc w:val="center"/>
        <w:rPr>
          <w:rFonts w:ascii="Times New Roman" w:hAnsi="Times New Roman"/>
          <w:b w:val="1"/>
          <w:sz w:val="24"/>
        </w:rPr>
      </w:pPr>
      <w:r>
        <w:rPr>
          <w:rFonts w:ascii="Times New Roman" w:hAnsi="Times New Roman"/>
          <w:b w:val="1"/>
          <w:sz w:val="24"/>
        </w:rPr>
        <w:t xml:space="preserve">Примерная </w:t>
      </w:r>
      <w:r>
        <w:rPr>
          <w:rFonts w:ascii="Times New Roman" w:hAnsi="Times New Roman"/>
          <w:b w:val="1"/>
          <w:sz w:val="24"/>
        </w:rPr>
        <w:t>рабочая программа профессионального модуля</w:t>
      </w:r>
    </w:p>
    <w:p w14:paraId="CD030000">
      <w:pPr>
        <w:pStyle w:val="Style_3"/>
      </w:pPr>
      <w:r>
        <w:t>«</w:t>
      </w:r>
      <w:r>
        <w:t xml:space="preserve">ПМ.02 </w:t>
      </w:r>
      <w:r>
        <w:t>СОСТАВЛЕНИЕ И ИСПОЛЬЗОВАНИЕ БУХГАЛТЕРСКОЙ (ФИНАНСОВОЙ) И НАЛОГОВОЙ ОТЧЕТНОСТИ ЭКОНОМИЧЕСКОГО СУБЪЕКТА</w:t>
      </w:r>
      <w:r>
        <w:t>»</w:t>
      </w:r>
    </w:p>
    <w:p w14:paraId="CE030000">
      <w:pPr>
        <w:spacing w:line="360" w:lineRule="auto"/>
        <w:ind/>
        <w:jc w:val="center"/>
        <w:rPr>
          <w:rFonts w:ascii="Times New Roman" w:hAnsi="Times New Roman"/>
          <w:sz w:val="24"/>
        </w:rPr>
      </w:pPr>
    </w:p>
    <w:p w14:paraId="CF030000">
      <w:pPr>
        <w:spacing w:line="360" w:lineRule="auto"/>
        <w:ind/>
        <w:jc w:val="center"/>
        <w:rPr>
          <w:rFonts w:ascii="Times New Roman" w:hAnsi="Times New Roman"/>
          <w:sz w:val="24"/>
        </w:rPr>
      </w:pPr>
    </w:p>
    <w:p w14:paraId="D0030000">
      <w:pPr>
        <w:spacing w:line="360" w:lineRule="auto"/>
        <w:ind/>
        <w:jc w:val="center"/>
        <w:rPr>
          <w:rFonts w:ascii="Times New Roman" w:hAnsi="Times New Roman"/>
          <w:sz w:val="24"/>
        </w:rPr>
      </w:pPr>
    </w:p>
    <w:p w14:paraId="D1030000">
      <w:pPr>
        <w:spacing w:line="360" w:lineRule="auto"/>
        <w:ind/>
        <w:jc w:val="center"/>
        <w:rPr>
          <w:rFonts w:ascii="Times New Roman" w:hAnsi="Times New Roman"/>
          <w:sz w:val="24"/>
        </w:rPr>
      </w:pPr>
    </w:p>
    <w:p w14:paraId="D2030000">
      <w:pPr>
        <w:spacing w:line="360" w:lineRule="auto"/>
        <w:ind/>
        <w:jc w:val="center"/>
        <w:rPr>
          <w:rFonts w:ascii="Times New Roman" w:hAnsi="Times New Roman"/>
          <w:sz w:val="24"/>
        </w:rPr>
      </w:pPr>
    </w:p>
    <w:p w14:paraId="D3030000">
      <w:pPr>
        <w:spacing w:line="360" w:lineRule="auto"/>
        <w:ind/>
        <w:jc w:val="center"/>
        <w:rPr>
          <w:rFonts w:ascii="Times New Roman" w:hAnsi="Times New Roman"/>
          <w:sz w:val="24"/>
        </w:rPr>
      </w:pPr>
    </w:p>
    <w:p w14:paraId="D4030000">
      <w:pPr>
        <w:spacing w:line="360" w:lineRule="auto"/>
        <w:ind/>
        <w:jc w:val="center"/>
        <w:rPr>
          <w:rFonts w:ascii="Times New Roman" w:hAnsi="Times New Roman"/>
          <w:sz w:val="24"/>
        </w:rPr>
      </w:pPr>
    </w:p>
    <w:p w14:paraId="D5030000">
      <w:pPr>
        <w:spacing w:line="360" w:lineRule="auto"/>
        <w:ind/>
        <w:jc w:val="center"/>
        <w:rPr>
          <w:rFonts w:ascii="Times New Roman" w:hAnsi="Times New Roman"/>
          <w:sz w:val="24"/>
        </w:rPr>
      </w:pPr>
    </w:p>
    <w:p w14:paraId="D6030000">
      <w:pPr>
        <w:spacing w:line="360" w:lineRule="auto"/>
        <w:ind/>
        <w:jc w:val="center"/>
        <w:rPr>
          <w:rFonts w:ascii="Times New Roman" w:hAnsi="Times New Roman"/>
          <w:sz w:val="24"/>
        </w:rPr>
      </w:pPr>
    </w:p>
    <w:p w14:paraId="D7030000">
      <w:pPr>
        <w:spacing w:line="360" w:lineRule="auto"/>
        <w:ind/>
        <w:jc w:val="center"/>
        <w:rPr>
          <w:rFonts w:ascii="Times New Roman" w:hAnsi="Times New Roman"/>
          <w:sz w:val="24"/>
        </w:rPr>
      </w:pPr>
    </w:p>
    <w:p w14:paraId="D8030000">
      <w:pPr>
        <w:spacing w:line="360" w:lineRule="auto"/>
        <w:ind/>
        <w:jc w:val="center"/>
        <w:rPr>
          <w:rFonts w:ascii="Times New Roman" w:hAnsi="Times New Roman"/>
          <w:sz w:val="24"/>
        </w:rPr>
      </w:pPr>
    </w:p>
    <w:p w14:paraId="D9030000">
      <w:pPr>
        <w:spacing w:line="360" w:lineRule="auto"/>
        <w:ind/>
        <w:jc w:val="center"/>
        <w:rPr>
          <w:rFonts w:ascii="Times New Roman" w:hAnsi="Times New Roman"/>
          <w:sz w:val="24"/>
        </w:rPr>
      </w:pPr>
    </w:p>
    <w:p w14:paraId="DA030000">
      <w:pPr>
        <w:spacing w:line="360" w:lineRule="auto"/>
        <w:ind/>
        <w:jc w:val="center"/>
        <w:rPr>
          <w:rFonts w:ascii="Times New Roman" w:hAnsi="Times New Roman"/>
          <w:sz w:val="24"/>
        </w:rPr>
      </w:pPr>
    </w:p>
    <w:p w14:paraId="DB030000">
      <w:pPr>
        <w:spacing w:line="360" w:lineRule="auto"/>
        <w:ind/>
        <w:jc w:val="center"/>
        <w:rPr>
          <w:rFonts w:ascii="Times New Roman" w:hAnsi="Times New Roman"/>
          <w:sz w:val="24"/>
        </w:rPr>
      </w:pPr>
    </w:p>
    <w:p w14:paraId="DC030000">
      <w:pPr>
        <w:ind/>
        <w:jc w:val="center"/>
        <w:rPr>
          <w:rFonts w:ascii="Times New Roman" w:hAnsi="Times New Roman"/>
          <w:b w:val="1"/>
          <w:sz w:val="24"/>
        </w:rPr>
      </w:pPr>
      <w:r>
        <w:rPr>
          <w:rFonts w:ascii="Times New Roman" w:hAnsi="Times New Roman"/>
          <w:b w:val="1"/>
          <w:sz w:val="24"/>
        </w:rPr>
        <w:t>2025</w:t>
      </w:r>
      <w:r>
        <w:rPr>
          <w:rFonts w:ascii="Times New Roman" w:hAnsi="Times New Roman"/>
          <w:b w:val="1"/>
          <w:sz w:val="24"/>
        </w:rPr>
        <w:t xml:space="preserve"> г.</w:t>
      </w:r>
    </w:p>
    <w:p w14:paraId="DD030000">
      <w:pPr>
        <w:rPr>
          <w:rFonts w:ascii="Times New Roman" w:hAnsi="Times New Roman"/>
          <w:b w:val="1"/>
          <w:sz w:val="24"/>
        </w:rPr>
      </w:pPr>
      <w:r>
        <w:br w:type="page"/>
      </w:r>
    </w:p>
    <w:p w14:paraId="DE030000">
      <w:pPr>
        <w:ind/>
        <w:jc w:val="center"/>
        <w:rPr>
          <w:rFonts w:ascii="Times New Roman" w:hAnsi="Times New Roman"/>
          <w:b w:val="1"/>
          <w:sz w:val="24"/>
        </w:rPr>
      </w:pPr>
      <w:r>
        <w:rPr>
          <w:rFonts w:ascii="Times New Roman" w:hAnsi="Times New Roman"/>
          <w:b w:val="1"/>
          <w:sz w:val="24"/>
        </w:rPr>
        <w:t>СОДЕРЖАНИЕ ПРОГРАММЫ</w:t>
      </w:r>
    </w:p>
    <w:p w14:paraId="DF030000"/>
    <w:p>
      <w:pPr>
        <w:pStyle w:val="Style_2"/>
        <w:tabs>
          <w:tab w:leader="none" w:pos="9639" w:val="clear"/>
          <w:tab w:leader="dot" w:pos="9638" w:val="right"/>
        </w:tabs>
        <w:ind/>
      </w:pPr>
      <w:r>
        <w:fldChar w:fldCharType="begin"/>
      </w:r>
      <w:r>
        <w:instrText xml:space="preserve">TOC \h \z \t "Раздел 1,1,Раздел 1.1,2"</w:instrText>
      </w:r>
      <w:r>
        <w:fldChar w:fldCharType="separate"/>
      </w:r>
      <w:r>
        <w:fldChar w:fldCharType="begin"/>
      </w:r>
      <w:r>
        <w:instrText>HYPERLINK \l "__RefHeading___24"</w:instrText>
      </w:r>
      <w:r>
        <w:fldChar w:fldCharType="separate"/>
      </w:r>
      <w:r>
        <w:t>1. Общая характеристика ПРИМЕРНОЙ РАБОЧЕЙ ПРОГРАММЫ ПРОФЕССИОНАЛЬНОГО МОДУЛЯ</w:t>
      </w:r>
      <w:r>
        <w:tab/>
      </w:r>
      <w:r>
        <w:fldChar w:fldCharType="begin"/>
      </w:r>
      <w:r>
        <w:instrText>PAGEREF __RefHeading___24 \h</w:instrText>
      </w:r>
      <w:r>
        <w:fldChar w:fldCharType="separate"/>
      </w:r>
      <w:r>
        <w:t>4</w:t>
      </w:r>
      <w:r>
        <w:fldChar w:fldCharType="end"/>
      </w:r>
      <w:r>
        <w:fldChar w:fldCharType="end"/>
      </w:r>
    </w:p>
    <w:p w14:paraId="E1030000">
      <w:pPr>
        <w:pStyle w:val="Style_4"/>
        <w:tabs>
          <w:tab w:leader="none" w:pos="9639" w:val="clear"/>
          <w:tab w:leader="dot" w:pos="9638" w:val="right"/>
        </w:tabs>
        <w:ind/>
      </w:pPr>
      <w:r>
        <w:fldChar w:fldCharType="begin"/>
      </w:r>
      <w:r>
        <w:instrText>HYPERLINK \l "__RefHeading___25"</w:instrText>
      </w:r>
      <w:r>
        <w:fldChar w:fldCharType="separate"/>
      </w:r>
      <w:r>
        <w:t>1.1. Цель и место профессионального модуля в структуре образовательной программы</w:t>
      </w:r>
      <w:r>
        <w:tab/>
      </w:r>
      <w:r>
        <w:fldChar w:fldCharType="begin"/>
      </w:r>
      <w:r>
        <w:instrText>PAGEREF __RefHeading___25 \h</w:instrText>
      </w:r>
      <w:r>
        <w:fldChar w:fldCharType="separate"/>
      </w:r>
      <w:r>
        <w:t>4</w:t>
      </w:r>
      <w:r>
        <w:fldChar w:fldCharType="end"/>
      </w:r>
      <w:r>
        <w:fldChar w:fldCharType="end"/>
      </w:r>
    </w:p>
    <w:p w14:paraId="E2030000">
      <w:pPr>
        <w:pStyle w:val="Style_4"/>
        <w:tabs>
          <w:tab w:leader="none" w:pos="9639" w:val="clear"/>
          <w:tab w:leader="dot" w:pos="9638" w:val="right"/>
        </w:tabs>
        <w:ind/>
      </w:pPr>
      <w:r>
        <w:fldChar w:fldCharType="begin"/>
      </w:r>
      <w:r>
        <w:instrText>HYPERLINK \l "__RefHeading___26"</w:instrText>
      </w:r>
      <w:r>
        <w:fldChar w:fldCharType="separate"/>
      </w:r>
      <w:r>
        <w:t>1.2. Планируемые результаты освоения профессионального модуля</w:t>
      </w:r>
      <w:r>
        <w:tab/>
      </w:r>
      <w:r>
        <w:fldChar w:fldCharType="begin"/>
      </w:r>
      <w:r>
        <w:instrText>PAGEREF __RefHeading___26 \h</w:instrText>
      </w:r>
      <w:r>
        <w:fldChar w:fldCharType="separate"/>
      </w:r>
      <w:r>
        <w:t>4</w:t>
      </w:r>
      <w:r>
        <w:fldChar w:fldCharType="end"/>
      </w:r>
      <w:r>
        <w:fldChar w:fldCharType="end"/>
      </w:r>
    </w:p>
    <w:p w14:paraId="E3030000">
      <w:pPr>
        <w:pStyle w:val="Style_2"/>
        <w:tabs>
          <w:tab w:leader="none" w:pos="9639" w:val="clear"/>
          <w:tab w:leader="dot" w:pos="9638" w:val="right"/>
        </w:tabs>
        <w:ind/>
      </w:pPr>
      <w:r>
        <w:fldChar w:fldCharType="begin"/>
      </w:r>
      <w:r>
        <w:instrText>HYPERLINK \l "__RefHeading___27"</w:instrText>
      </w:r>
      <w:r>
        <w:fldChar w:fldCharType="separate"/>
      </w:r>
      <w:r>
        <w:t>2. Структура и содержание профессионального модуля</w:t>
      </w:r>
      <w:r>
        <w:tab/>
      </w:r>
      <w:r>
        <w:fldChar w:fldCharType="begin"/>
      </w:r>
      <w:r>
        <w:instrText>PAGEREF __RefHeading___27 \h</w:instrText>
      </w:r>
      <w:r>
        <w:fldChar w:fldCharType="separate"/>
      </w:r>
      <w:r>
        <w:t>8</w:t>
      </w:r>
      <w:r>
        <w:fldChar w:fldCharType="end"/>
      </w:r>
      <w:r>
        <w:fldChar w:fldCharType="end"/>
      </w:r>
    </w:p>
    <w:p w14:paraId="E4030000">
      <w:pPr>
        <w:pStyle w:val="Style_4"/>
        <w:tabs>
          <w:tab w:leader="none" w:pos="9639" w:val="clear"/>
          <w:tab w:leader="dot" w:pos="9638" w:val="right"/>
        </w:tabs>
        <w:ind/>
      </w:pPr>
      <w:r>
        <w:fldChar w:fldCharType="begin"/>
      </w:r>
      <w:r>
        <w:instrText>HYPERLINK \l "__RefHeading___28"</w:instrText>
      </w:r>
      <w:r>
        <w:fldChar w:fldCharType="separate"/>
      </w:r>
      <w:r>
        <w:t>2.1. Трудоемкость освоения модуля</w:t>
      </w:r>
      <w:r>
        <w:tab/>
      </w:r>
      <w:r>
        <w:fldChar w:fldCharType="begin"/>
      </w:r>
      <w:r>
        <w:instrText>PAGEREF __RefHeading___28 \h</w:instrText>
      </w:r>
      <w:r>
        <w:fldChar w:fldCharType="separate"/>
      </w:r>
      <w:r>
        <w:t>8</w:t>
      </w:r>
      <w:r>
        <w:fldChar w:fldCharType="end"/>
      </w:r>
      <w:r>
        <w:fldChar w:fldCharType="end"/>
      </w:r>
    </w:p>
    <w:p w14:paraId="E5030000">
      <w:pPr>
        <w:pStyle w:val="Style_4"/>
        <w:tabs>
          <w:tab w:leader="none" w:pos="9639" w:val="clear"/>
          <w:tab w:leader="dot" w:pos="9638" w:val="right"/>
        </w:tabs>
        <w:ind/>
      </w:pPr>
      <w:r>
        <w:fldChar w:fldCharType="begin"/>
      </w:r>
      <w:r>
        <w:instrText>HYPERLINK \l "__RefHeading___29"</w:instrText>
      </w:r>
      <w:r>
        <w:fldChar w:fldCharType="separate"/>
      </w:r>
      <w:r>
        <w:t>2.2. Структура профессионального модуля</w:t>
      </w:r>
      <w:r>
        <w:tab/>
      </w:r>
      <w:r>
        <w:fldChar w:fldCharType="begin"/>
      </w:r>
      <w:r>
        <w:instrText>PAGEREF __RefHeading___29 \h</w:instrText>
      </w:r>
      <w:r>
        <w:fldChar w:fldCharType="separate"/>
      </w:r>
      <w:r>
        <w:t>8</w:t>
      </w:r>
      <w:r>
        <w:fldChar w:fldCharType="end"/>
      </w:r>
      <w:r>
        <w:fldChar w:fldCharType="end"/>
      </w:r>
    </w:p>
    <w:p w14:paraId="E6030000">
      <w:pPr>
        <w:pStyle w:val="Style_4"/>
        <w:tabs>
          <w:tab w:leader="none" w:pos="9639" w:val="clear"/>
          <w:tab w:leader="dot" w:pos="9638" w:val="right"/>
        </w:tabs>
        <w:ind/>
      </w:pPr>
      <w:r>
        <w:fldChar w:fldCharType="begin"/>
      </w:r>
      <w:r>
        <w:instrText>HYPERLINK \l "__RefHeading___30"</w:instrText>
      </w:r>
      <w:r>
        <w:fldChar w:fldCharType="separate"/>
      </w:r>
      <w:r>
        <w:t>2.3. Примерное содержание профессионального модуля</w:t>
      </w:r>
      <w:r>
        <w:tab/>
      </w:r>
      <w:r>
        <w:fldChar w:fldCharType="begin"/>
      </w:r>
      <w:r>
        <w:instrText>PAGEREF __RefHeading___30 \h</w:instrText>
      </w:r>
      <w:r>
        <w:fldChar w:fldCharType="separate"/>
      </w:r>
      <w:r>
        <w:t>9</w:t>
      </w:r>
      <w:r>
        <w:fldChar w:fldCharType="end"/>
      </w:r>
      <w:r>
        <w:fldChar w:fldCharType="end"/>
      </w:r>
    </w:p>
    <w:p w14:paraId="E7030000">
      <w:pPr>
        <w:pStyle w:val="Style_4"/>
        <w:tabs>
          <w:tab w:leader="none" w:pos="9639" w:val="clear"/>
          <w:tab w:leader="dot" w:pos="9638" w:val="right"/>
        </w:tabs>
        <w:ind/>
      </w:pPr>
      <w:r>
        <w:fldChar w:fldCharType="begin"/>
      </w:r>
      <w:r>
        <w:instrText>HYPERLINK \l "__RefHeading___31"</w:instrText>
      </w:r>
      <w:r>
        <w:fldChar w:fldCharType="separate"/>
      </w:r>
      <w:r>
        <w:t>2.4. Курсовой работа (проект)</w:t>
      </w:r>
      <w:r>
        <w:tab/>
      </w:r>
      <w:r>
        <w:fldChar w:fldCharType="begin"/>
      </w:r>
      <w:r>
        <w:instrText>PAGEREF __RefHeading___31 \h</w:instrText>
      </w:r>
      <w:r>
        <w:fldChar w:fldCharType="separate"/>
      </w:r>
      <w:r>
        <w:t>23</w:t>
      </w:r>
      <w:r>
        <w:fldChar w:fldCharType="end"/>
      </w:r>
      <w:r>
        <w:fldChar w:fldCharType="end"/>
      </w:r>
    </w:p>
    <w:p w14:paraId="E8030000">
      <w:pPr>
        <w:pStyle w:val="Style_2"/>
        <w:tabs>
          <w:tab w:leader="none" w:pos="9639" w:val="clear"/>
          <w:tab w:leader="dot" w:pos="9638" w:val="right"/>
        </w:tabs>
        <w:ind/>
      </w:pPr>
      <w:r>
        <w:fldChar w:fldCharType="begin"/>
      </w:r>
      <w:r>
        <w:instrText>HYPERLINK \l "__RefHeading___32"</w:instrText>
      </w:r>
      <w:r>
        <w:fldChar w:fldCharType="separate"/>
      </w:r>
      <w:r>
        <w:t>3. Условия реализации профессионального модуля</w:t>
      </w:r>
      <w:r>
        <w:tab/>
      </w:r>
      <w:r>
        <w:fldChar w:fldCharType="begin"/>
      </w:r>
      <w:r>
        <w:instrText>PAGEREF __RefHeading___32 \h</w:instrText>
      </w:r>
      <w:r>
        <w:fldChar w:fldCharType="separate"/>
      </w:r>
      <w:r>
        <w:t>25</w:t>
      </w:r>
      <w:r>
        <w:fldChar w:fldCharType="end"/>
      </w:r>
      <w:r>
        <w:fldChar w:fldCharType="end"/>
      </w:r>
    </w:p>
    <w:p w14:paraId="E9030000">
      <w:pPr>
        <w:pStyle w:val="Style_4"/>
        <w:tabs>
          <w:tab w:leader="none" w:pos="9639" w:val="clear"/>
          <w:tab w:leader="dot" w:pos="9638" w:val="right"/>
        </w:tabs>
        <w:ind/>
      </w:pPr>
      <w:r>
        <w:fldChar w:fldCharType="begin"/>
      </w:r>
      <w:r>
        <w:instrText>HYPERLINK \l "__RefHeading___33"</w:instrText>
      </w:r>
      <w:r>
        <w:fldChar w:fldCharType="separate"/>
      </w:r>
      <w:r>
        <w:t>3.1. Материально-техническое обеспечение</w:t>
      </w:r>
      <w:r>
        <w:tab/>
      </w:r>
      <w:r>
        <w:fldChar w:fldCharType="begin"/>
      </w:r>
      <w:r>
        <w:instrText>PAGEREF __RefHeading___33 \h</w:instrText>
      </w:r>
      <w:r>
        <w:fldChar w:fldCharType="separate"/>
      </w:r>
      <w:r>
        <w:t>25</w:t>
      </w:r>
      <w:r>
        <w:fldChar w:fldCharType="end"/>
      </w:r>
      <w:r>
        <w:fldChar w:fldCharType="end"/>
      </w:r>
    </w:p>
    <w:p w14:paraId="EA030000">
      <w:pPr>
        <w:pStyle w:val="Style_4"/>
        <w:tabs>
          <w:tab w:leader="none" w:pos="9639" w:val="clear"/>
          <w:tab w:leader="dot" w:pos="9638" w:val="right"/>
        </w:tabs>
        <w:ind/>
      </w:pPr>
      <w:r>
        <w:fldChar w:fldCharType="begin"/>
      </w:r>
      <w:r>
        <w:instrText>HYPERLINK \l "__RefHeading___34"</w:instrText>
      </w:r>
      <w:r>
        <w:fldChar w:fldCharType="separate"/>
      </w:r>
      <w:r>
        <w:t>3.2. Учебно-методическое обеспечение</w:t>
      </w:r>
      <w:r>
        <w:tab/>
      </w:r>
      <w:r>
        <w:fldChar w:fldCharType="begin"/>
      </w:r>
      <w:r>
        <w:instrText>PAGEREF __RefHeading___34 \h</w:instrText>
      </w:r>
      <w:r>
        <w:fldChar w:fldCharType="separate"/>
      </w:r>
      <w:r>
        <w:t>26</w:t>
      </w:r>
      <w:r>
        <w:fldChar w:fldCharType="end"/>
      </w:r>
      <w:r>
        <w:fldChar w:fldCharType="end"/>
      </w:r>
    </w:p>
    <w:p w14:paraId="EB030000">
      <w:pPr>
        <w:pStyle w:val="Style_2"/>
        <w:tabs>
          <w:tab w:leader="none" w:pos="9639" w:val="clear"/>
          <w:tab w:leader="dot" w:pos="9638" w:val="right"/>
        </w:tabs>
        <w:ind/>
      </w:pPr>
      <w:r>
        <w:fldChar w:fldCharType="begin"/>
      </w:r>
      <w:r>
        <w:instrText>HYPERLINK \l "__RefHeading___35"</w:instrText>
      </w:r>
      <w:r>
        <w:fldChar w:fldCharType="separate"/>
      </w:r>
      <w:r>
        <w:t>4. Контроль и оценка результатов освоения профессионального модуля</w:t>
      </w:r>
      <w:r>
        <w:tab/>
      </w:r>
      <w:r>
        <w:fldChar w:fldCharType="begin"/>
      </w:r>
      <w:r>
        <w:instrText>PAGEREF __RefHeading___35 \h</w:instrText>
      </w:r>
      <w:r>
        <w:fldChar w:fldCharType="separate"/>
      </w:r>
      <w:r>
        <w:t>33</w:t>
      </w:r>
      <w:r>
        <w:fldChar w:fldCharType="end"/>
      </w:r>
      <w:r>
        <w:fldChar w:fldCharType="end"/>
      </w:r>
    </w:p>
    <w:p w14:paraId="EC030000">
      <w:pPr>
        <w:pStyle w:val="Style_2"/>
        <w:tabs>
          <w:tab w:leader="none" w:pos="9639" w:val="clear"/>
          <w:tab w:leader="dot" w:pos="9638" w:val="right"/>
        </w:tabs>
        <w:ind/>
      </w:pPr>
      <w:r>
        <w:fldChar w:fldCharType="begin"/>
      </w:r>
      <w:r>
        <w:instrText>HYPERLINK \l "__RefHeading___36"</w:instrText>
      </w:r>
      <w:r>
        <w:fldChar w:fldCharType="separate"/>
      </w:r>
      <w:r>
        <w:t>1. Общая характеристика ПРИМЕРНОЙ РАБОЧЕЙ ПРОГРАММЫ ПРОФЕССИОНАЛЬНОГО МОДУЛЯ</w:t>
      </w:r>
      <w:r>
        <w:tab/>
      </w:r>
      <w:r>
        <w:fldChar w:fldCharType="begin"/>
      </w:r>
      <w:r>
        <w:instrText>PAGEREF __RefHeading___36 \h</w:instrText>
      </w:r>
      <w:r>
        <w:fldChar w:fldCharType="separate"/>
      </w:r>
      <w:r>
        <w:t>38</w:t>
      </w:r>
      <w:r>
        <w:fldChar w:fldCharType="end"/>
      </w:r>
      <w:r>
        <w:fldChar w:fldCharType="end"/>
      </w:r>
    </w:p>
    <w:p w14:paraId="ED030000">
      <w:pPr>
        <w:pStyle w:val="Style_4"/>
        <w:tabs>
          <w:tab w:leader="none" w:pos="9639" w:val="clear"/>
          <w:tab w:leader="dot" w:pos="9638" w:val="right"/>
        </w:tabs>
        <w:ind/>
      </w:pPr>
      <w:r>
        <w:fldChar w:fldCharType="begin"/>
      </w:r>
      <w:r>
        <w:instrText>HYPERLINK \l "__RefHeading___37"</w:instrText>
      </w:r>
      <w:r>
        <w:fldChar w:fldCharType="separate"/>
      </w:r>
      <w:r>
        <w:t>1.1. Цель и место профессионального модуля в структуре образовательной программы</w:t>
      </w:r>
      <w:r>
        <w:tab/>
      </w:r>
      <w:r>
        <w:fldChar w:fldCharType="begin"/>
      </w:r>
      <w:r>
        <w:instrText>PAGEREF __RefHeading___37 \h</w:instrText>
      </w:r>
      <w:r>
        <w:fldChar w:fldCharType="separate"/>
      </w:r>
      <w:r>
        <w:t>38</w:t>
      </w:r>
      <w:r>
        <w:fldChar w:fldCharType="end"/>
      </w:r>
      <w:r>
        <w:fldChar w:fldCharType="end"/>
      </w:r>
    </w:p>
    <w:p w14:paraId="EE030000">
      <w:pPr>
        <w:pStyle w:val="Style_4"/>
        <w:tabs>
          <w:tab w:leader="none" w:pos="9639" w:val="clear"/>
          <w:tab w:leader="dot" w:pos="9638" w:val="right"/>
        </w:tabs>
        <w:ind/>
      </w:pPr>
      <w:r>
        <w:fldChar w:fldCharType="begin"/>
      </w:r>
      <w:r>
        <w:instrText>HYPERLINK \l "__RefHeading___38"</w:instrText>
      </w:r>
      <w:r>
        <w:fldChar w:fldCharType="separate"/>
      </w:r>
      <w:r>
        <w:t>1.2. Планируемые результаты освоения профессионального модуля</w:t>
      </w:r>
      <w:r>
        <w:tab/>
      </w:r>
      <w:r>
        <w:fldChar w:fldCharType="begin"/>
      </w:r>
      <w:r>
        <w:instrText>PAGEREF __RefHeading___38 \h</w:instrText>
      </w:r>
      <w:r>
        <w:fldChar w:fldCharType="separate"/>
      </w:r>
      <w:r>
        <w:t>38</w:t>
      </w:r>
      <w:r>
        <w:fldChar w:fldCharType="end"/>
      </w:r>
      <w:r>
        <w:fldChar w:fldCharType="end"/>
      </w:r>
    </w:p>
    <w:p w14:paraId="EF030000">
      <w:pPr>
        <w:pStyle w:val="Style_2"/>
        <w:tabs>
          <w:tab w:leader="none" w:pos="9639" w:val="clear"/>
          <w:tab w:leader="dot" w:pos="9638" w:val="right"/>
        </w:tabs>
        <w:ind/>
      </w:pPr>
      <w:r>
        <w:fldChar w:fldCharType="begin"/>
      </w:r>
      <w:r>
        <w:instrText>HYPERLINK \l "__RefHeading___39"</w:instrText>
      </w:r>
      <w:r>
        <w:fldChar w:fldCharType="separate"/>
      </w:r>
      <w:r>
        <w:t>2. Структура и содержание профессионального модуля</w:t>
      </w:r>
      <w:r>
        <w:tab/>
      </w:r>
      <w:r>
        <w:fldChar w:fldCharType="begin"/>
      </w:r>
      <w:r>
        <w:instrText>PAGEREF __RefHeading___39 \h</w:instrText>
      </w:r>
      <w:r>
        <w:fldChar w:fldCharType="separate"/>
      </w:r>
      <w:r>
        <w:t>45</w:t>
      </w:r>
      <w:r>
        <w:fldChar w:fldCharType="end"/>
      </w:r>
      <w:r>
        <w:fldChar w:fldCharType="end"/>
      </w:r>
    </w:p>
    <w:p w14:paraId="F0030000">
      <w:pPr>
        <w:pStyle w:val="Style_4"/>
        <w:tabs>
          <w:tab w:leader="none" w:pos="9639" w:val="clear"/>
          <w:tab w:leader="dot" w:pos="9638" w:val="right"/>
        </w:tabs>
        <w:ind/>
      </w:pPr>
      <w:r>
        <w:fldChar w:fldCharType="begin"/>
      </w:r>
      <w:r>
        <w:instrText>HYPERLINK \l "__RefHeading___40"</w:instrText>
      </w:r>
      <w:r>
        <w:fldChar w:fldCharType="separate"/>
      </w:r>
      <w:r>
        <w:t>2.1. Трудоемкость освоения модуля</w:t>
      </w:r>
      <w:r>
        <w:tab/>
      </w:r>
      <w:r>
        <w:fldChar w:fldCharType="begin"/>
      </w:r>
      <w:r>
        <w:instrText>PAGEREF __RefHeading___40 \h</w:instrText>
      </w:r>
      <w:r>
        <w:fldChar w:fldCharType="separate"/>
      </w:r>
      <w:r>
        <w:t>45</w:t>
      </w:r>
      <w:r>
        <w:fldChar w:fldCharType="end"/>
      </w:r>
      <w:r>
        <w:fldChar w:fldCharType="end"/>
      </w:r>
    </w:p>
    <w:p w14:paraId="F1030000">
      <w:pPr>
        <w:pStyle w:val="Style_4"/>
        <w:tabs>
          <w:tab w:leader="none" w:pos="9639" w:val="clear"/>
          <w:tab w:leader="dot" w:pos="9638" w:val="right"/>
        </w:tabs>
        <w:ind/>
      </w:pPr>
      <w:r>
        <w:fldChar w:fldCharType="begin"/>
      </w:r>
      <w:r>
        <w:instrText>HYPERLINK \l "__RefHeading___41"</w:instrText>
      </w:r>
      <w:r>
        <w:fldChar w:fldCharType="separate"/>
      </w:r>
      <w:r>
        <w:t>2.2. Структура профессионального модуля</w:t>
      </w:r>
      <w:r>
        <w:tab/>
      </w:r>
      <w:r>
        <w:fldChar w:fldCharType="begin"/>
      </w:r>
      <w:r>
        <w:instrText>PAGEREF __RefHeading___41 \h</w:instrText>
      </w:r>
      <w:r>
        <w:fldChar w:fldCharType="separate"/>
      </w:r>
      <w:r>
        <w:t>45</w:t>
      </w:r>
      <w:r>
        <w:fldChar w:fldCharType="end"/>
      </w:r>
      <w:r>
        <w:fldChar w:fldCharType="end"/>
      </w:r>
    </w:p>
    <w:p w14:paraId="F2030000">
      <w:pPr>
        <w:pStyle w:val="Style_4"/>
        <w:tabs>
          <w:tab w:leader="none" w:pos="9639" w:val="clear"/>
          <w:tab w:leader="dot" w:pos="9638" w:val="right"/>
        </w:tabs>
        <w:ind/>
      </w:pPr>
      <w:r>
        <w:fldChar w:fldCharType="begin"/>
      </w:r>
      <w:r>
        <w:instrText>HYPERLINK \l "__RefHeading___42"</w:instrText>
      </w:r>
      <w:r>
        <w:fldChar w:fldCharType="separate"/>
      </w:r>
      <w:r>
        <w:t>2.3. Примерное содержание профессионального модуля</w:t>
      </w:r>
      <w:r>
        <w:tab/>
      </w:r>
      <w:r>
        <w:fldChar w:fldCharType="begin"/>
      </w:r>
      <w:r>
        <w:instrText>PAGEREF __RefHeading___42 \h</w:instrText>
      </w:r>
      <w:r>
        <w:fldChar w:fldCharType="separate"/>
      </w:r>
      <w:r>
        <w:t>46</w:t>
      </w:r>
      <w:r>
        <w:fldChar w:fldCharType="end"/>
      </w:r>
      <w:r>
        <w:fldChar w:fldCharType="end"/>
      </w:r>
    </w:p>
    <w:p w14:paraId="F3030000">
      <w:pPr>
        <w:pStyle w:val="Style_2"/>
        <w:tabs>
          <w:tab w:leader="none" w:pos="9639" w:val="clear"/>
          <w:tab w:leader="dot" w:pos="9638" w:val="right"/>
        </w:tabs>
        <w:ind/>
      </w:pPr>
      <w:r>
        <w:fldChar w:fldCharType="begin"/>
      </w:r>
      <w:r>
        <w:instrText>HYPERLINK \l "__RefHeading___43"</w:instrText>
      </w:r>
      <w:r>
        <w:fldChar w:fldCharType="separate"/>
      </w:r>
      <w:r>
        <w:t>3. Условия реализации профессионального модуля</w:t>
      </w:r>
      <w:r>
        <w:tab/>
      </w:r>
      <w:r>
        <w:fldChar w:fldCharType="begin"/>
      </w:r>
      <w:r>
        <w:instrText>PAGEREF __RefHeading___43 \h</w:instrText>
      </w:r>
      <w:r>
        <w:fldChar w:fldCharType="separate"/>
      </w:r>
      <w:r>
        <w:t>55</w:t>
      </w:r>
      <w:r>
        <w:fldChar w:fldCharType="end"/>
      </w:r>
      <w:r>
        <w:fldChar w:fldCharType="end"/>
      </w:r>
    </w:p>
    <w:p w14:paraId="F4030000">
      <w:pPr>
        <w:pStyle w:val="Style_4"/>
        <w:tabs>
          <w:tab w:leader="none" w:pos="9639" w:val="clear"/>
          <w:tab w:leader="dot" w:pos="9638" w:val="right"/>
        </w:tabs>
        <w:ind/>
      </w:pPr>
      <w:r>
        <w:fldChar w:fldCharType="begin"/>
      </w:r>
      <w:r>
        <w:instrText>HYPERLINK \l "__RefHeading___44"</w:instrText>
      </w:r>
      <w:r>
        <w:fldChar w:fldCharType="separate"/>
      </w:r>
      <w:r>
        <w:t>3.1. Материально-техническое обеспечение</w:t>
      </w:r>
      <w:r>
        <w:tab/>
      </w:r>
      <w:r>
        <w:fldChar w:fldCharType="begin"/>
      </w:r>
      <w:r>
        <w:instrText>PAGEREF __RefHeading___44 \h</w:instrText>
      </w:r>
      <w:r>
        <w:fldChar w:fldCharType="separate"/>
      </w:r>
      <w:r>
        <w:t>55</w:t>
      </w:r>
      <w:r>
        <w:fldChar w:fldCharType="end"/>
      </w:r>
      <w:r>
        <w:fldChar w:fldCharType="end"/>
      </w:r>
    </w:p>
    <w:p w14:paraId="F5030000">
      <w:pPr>
        <w:pStyle w:val="Style_4"/>
        <w:tabs>
          <w:tab w:leader="none" w:pos="9639" w:val="clear"/>
          <w:tab w:leader="dot" w:pos="9638" w:val="right"/>
        </w:tabs>
        <w:ind/>
      </w:pPr>
      <w:r>
        <w:fldChar w:fldCharType="begin"/>
      </w:r>
      <w:r>
        <w:instrText>HYPERLINK \l "__RefHeading___45"</w:instrText>
      </w:r>
      <w:r>
        <w:fldChar w:fldCharType="separate"/>
      </w:r>
      <w:r>
        <w:t>3.2. Учебно-методическое обеспечение</w:t>
      </w:r>
      <w:r>
        <w:tab/>
      </w:r>
      <w:r>
        <w:fldChar w:fldCharType="begin"/>
      </w:r>
      <w:r>
        <w:instrText>PAGEREF __RefHeading___45 \h</w:instrText>
      </w:r>
      <w:r>
        <w:fldChar w:fldCharType="separate"/>
      </w:r>
      <w:r>
        <w:t>55</w:t>
      </w:r>
      <w:r>
        <w:fldChar w:fldCharType="end"/>
      </w:r>
      <w:r>
        <w:fldChar w:fldCharType="end"/>
      </w:r>
    </w:p>
    <w:p w14:paraId="F6030000">
      <w:pPr>
        <w:pStyle w:val="Style_2"/>
        <w:tabs>
          <w:tab w:leader="none" w:pos="9639" w:val="clear"/>
          <w:tab w:leader="dot" w:pos="9638" w:val="right"/>
        </w:tabs>
        <w:ind/>
      </w:pPr>
      <w:r>
        <w:fldChar w:fldCharType="begin"/>
      </w:r>
      <w:r>
        <w:instrText>HYPERLINK \l "__RefHeading___46"</w:instrText>
      </w:r>
      <w:r>
        <w:fldChar w:fldCharType="separate"/>
      </w:r>
      <w:r>
        <w:t>4. Контроль и оценка результатов освоения профессионального модуля</w:t>
      </w:r>
      <w:r>
        <w:tab/>
      </w:r>
      <w:r>
        <w:fldChar w:fldCharType="begin"/>
      </w:r>
      <w:r>
        <w:instrText>PAGEREF __RefHeading___46 \h</w:instrText>
      </w:r>
      <w:r>
        <w:fldChar w:fldCharType="separate"/>
      </w:r>
      <w:r>
        <w:t>59</w:t>
      </w:r>
      <w:r>
        <w:fldChar w:fldCharType="end"/>
      </w:r>
      <w:r>
        <w:fldChar w:fldCharType="end"/>
      </w:r>
    </w:p>
    <w:p>
      <w:r>
        <w:fldChar w:fldCharType="end"/>
      </w:r>
    </w:p>
    <w:p w14:paraId="F8030000">
      <w:pPr>
        <w:pStyle w:val="Style_3"/>
      </w:pPr>
    </w:p>
    <w:p w14:paraId="F9030000">
      <w:pPr>
        <w:sectPr>
          <w:headerReference r:id="rId4" w:type="default"/>
          <w:headerReference r:id="rId6" w:type="even"/>
          <w:pgSz w:h="16838" w:orient="portrait" w:w="11906"/>
          <w:pgMar w:bottom="1134" w:footer="709" w:gutter="0" w:header="709" w:left="1701" w:right="567" w:top="1134"/>
        </w:sectPr>
      </w:pPr>
    </w:p>
    <w:p w14:paraId="FA030000">
      <w:bookmarkStart w:id="28" w:name="__RefHeading___13"/>
      <w:bookmarkEnd w:id="28"/>
      <w:bookmarkStart w:id="29" w:name="__RefHeading___36"/>
      <w:bookmarkEnd w:id="29"/>
      <w:pPr>
        <w:pStyle w:val="Style_5"/>
      </w:pPr>
      <w:r>
        <w:t xml:space="preserve">1. Общая </w:t>
      </w:r>
      <w:r>
        <w:t>характеристика ПРИМЕРНОЙ</w:t>
      </w:r>
      <w:r>
        <w:rPr>
          <w:rFonts w:asciiTheme="minorAscii" w:hAnsiTheme="minorHAnsi"/>
        </w:rPr>
        <w:t xml:space="preserve"> </w:t>
      </w:r>
      <w:r>
        <w:t>РАБОЧЕЙ ПРОГРАММЫ</w:t>
      </w:r>
      <w:r>
        <w:rPr>
          <w:rFonts w:asciiTheme="minorAscii" w:hAnsiTheme="minorHAnsi"/>
        </w:rPr>
        <w:t xml:space="preserve"> </w:t>
      </w:r>
      <w:r>
        <w:t>ПРОФЕССИОНАЛЬНОГО МОДУЛЯ</w:t>
      </w:r>
    </w:p>
    <w:p w14:paraId="FB030000">
      <w:pPr>
        <w:pStyle w:val="Style_6"/>
        <w:ind/>
        <w:jc w:val="center"/>
        <w:rPr>
          <w:b w:val="1"/>
        </w:rPr>
      </w:pPr>
      <w:r>
        <w:rPr>
          <w:b w:val="1"/>
        </w:rPr>
        <w:t>«</w:t>
      </w:r>
      <w:r>
        <w:rPr>
          <w:b w:val="1"/>
        </w:rPr>
        <w:t>ПМ.02 Составление и использование бухгалтерской (финансовой) и налоговой отчетности экономического субъекта</w:t>
      </w:r>
      <w:r>
        <w:rPr>
          <w:b w:val="1"/>
        </w:rPr>
        <w:t>»</w:t>
      </w:r>
    </w:p>
    <w:p w14:paraId="FC030000">
      <w:pPr>
        <w:pStyle w:val="Style_5"/>
        <w:rPr>
          <w:rFonts w:asciiTheme="minorAscii" w:hAnsiTheme="minorHAnsi"/>
        </w:rPr>
      </w:pPr>
    </w:p>
    <w:p w14:paraId="FD030000">
      <w:bookmarkStart w:id="30" w:name="__RefHeading___14"/>
      <w:bookmarkEnd w:id="30"/>
      <w:bookmarkStart w:id="31" w:name="__RefHeading___37"/>
      <w:bookmarkEnd w:id="31"/>
      <w:pPr>
        <w:pStyle w:val="Style_7"/>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FE030000">
      <w:pPr>
        <w:spacing w:line="276" w:lineRule="auto"/>
        <w:ind w:firstLine="709" w:left="0"/>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sz w:val="24"/>
        </w:rPr>
        <w:t>«</w:t>
      </w:r>
      <w:r>
        <w:rPr>
          <w:rFonts w:ascii="Times New Roman" w:hAnsi="Times New Roman"/>
          <w:sz w:val="24"/>
        </w:rPr>
        <w:t>Составление и использование бухгалтерской (финансовой) и налоговой отчетности экономического субъекта</w:t>
      </w:r>
      <w:r>
        <w:rPr>
          <w:rFonts w:ascii="Times New Roman" w:hAnsi="Times New Roman"/>
          <w:sz w:val="24"/>
        </w:rPr>
        <w:t>»</w:t>
      </w:r>
      <w:r>
        <w:rPr>
          <w:rFonts w:ascii="Times New Roman" w:hAnsi="Times New Roman"/>
          <w:sz w:val="24"/>
        </w:rPr>
        <w:t xml:space="preserve">. </w:t>
      </w:r>
    </w:p>
    <w:p w14:paraId="FF030000">
      <w:pPr>
        <w:spacing w:line="276" w:lineRule="auto"/>
        <w:ind w:firstLine="709" w:left="0"/>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00040000">
      <w:pPr>
        <w:spacing w:line="276" w:lineRule="auto"/>
        <w:ind w:firstLine="709" w:left="0"/>
        <w:jc w:val="both"/>
        <w:rPr>
          <w:rFonts w:ascii="Times New Roman" w:hAnsi="Times New Roman"/>
          <w:sz w:val="24"/>
        </w:rPr>
      </w:pPr>
    </w:p>
    <w:p w14:paraId="01040000">
      <w:bookmarkStart w:id="32" w:name="__RefHeading___15"/>
      <w:bookmarkEnd w:id="32"/>
      <w:bookmarkStart w:id="33" w:name="__RefHeading___38"/>
      <w:bookmarkEnd w:id="33"/>
      <w:pPr>
        <w:pStyle w:val="Style_7"/>
        <w:rPr>
          <w:rFonts w:ascii="Times New Roman" w:hAnsi="Times New Roman"/>
        </w:rPr>
      </w:pPr>
      <w:r>
        <w:rPr>
          <w:rFonts w:ascii="Times New Roman" w:hAnsi="Times New Roman"/>
        </w:rPr>
        <w:t xml:space="preserve">1.2. </w:t>
      </w:r>
      <w:r>
        <w:rPr>
          <w:rFonts w:ascii="Times New Roman" w:hAnsi="Times New Roman"/>
        </w:rPr>
        <w:t>П</w:t>
      </w:r>
      <w:r>
        <w:rPr>
          <w:rFonts w:ascii="Times New Roman" w:hAnsi="Times New Roman"/>
        </w:rPr>
        <w:t>ланируемы</w:t>
      </w:r>
      <w:r>
        <w:rPr>
          <w:rFonts w:ascii="Times New Roman" w:hAnsi="Times New Roman"/>
        </w:rPr>
        <w:t>е</w:t>
      </w:r>
      <w:r>
        <w:rPr>
          <w:rFonts w:ascii="Times New Roman" w:hAnsi="Times New Roman"/>
        </w:rPr>
        <w:t xml:space="preserve"> результат</w:t>
      </w:r>
      <w:r>
        <w:rPr>
          <w:rFonts w:ascii="Times New Roman" w:hAnsi="Times New Roman"/>
        </w:rPr>
        <w:t>ы</w:t>
      </w:r>
      <w:r>
        <w:rPr>
          <w:rFonts w:ascii="Times New Roman" w:hAnsi="Times New Roman"/>
        </w:rPr>
        <w:t xml:space="preserve"> освоения </w:t>
      </w:r>
      <w:r>
        <w:rPr>
          <w:rFonts w:ascii="Times New Roman" w:hAnsi="Times New Roman"/>
        </w:rPr>
        <w:t xml:space="preserve">профессионального </w:t>
      </w:r>
      <w:r>
        <w:rPr>
          <w:rFonts w:ascii="Times New Roman" w:hAnsi="Times New Roman"/>
        </w:rPr>
        <w:t>модуля</w:t>
      </w:r>
    </w:p>
    <w:p w14:paraId="02040000">
      <w:pPr>
        <w:ind w:firstLine="709" w:left="0"/>
        <w:jc w:val="both"/>
        <w:rPr>
          <w:rFonts w:ascii="Times New Roman" w:hAnsi="Times New Roman"/>
          <w:sz w:val="24"/>
        </w:rPr>
      </w:pPr>
      <w:r>
        <w:rPr>
          <w:rFonts w:ascii="Times New Roman" w:hAnsi="Times New Roman"/>
          <w:sz w:val="24"/>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hAnsi="Times New Roman"/>
          <w:sz w:val="24"/>
        </w:rPr>
        <w:t>матрице компетенций выпускника (п. 4.3 ПОП</w:t>
      </w:r>
      <w:r>
        <w:rPr>
          <w:rFonts w:ascii="Times New Roman" w:hAnsi="Times New Roman"/>
          <w:sz w:val="24"/>
        </w:rPr>
        <w:t>-П</w:t>
      </w:r>
      <w:r>
        <w:rPr>
          <w:rFonts w:ascii="Times New Roman" w:hAnsi="Times New Roman"/>
          <w:sz w:val="24"/>
        </w:rPr>
        <w:t>)</w:t>
      </w:r>
      <w:r>
        <w:rPr>
          <w:rFonts w:ascii="Times New Roman" w:hAnsi="Times New Roman"/>
          <w:sz w:val="24"/>
        </w:rPr>
        <w:t>.</w:t>
      </w:r>
    </w:p>
    <w:p w14:paraId="03040000">
      <w:pPr>
        <w:spacing w:after="120"/>
        <w:ind w:firstLine="709" w:left="0"/>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5"/>
      </w:r>
      <w:r>
        <w:rPr>
          <w:rFonts w:ascii="Times New Roman" w:hAnsi="Times New Roman"/>
          <w:sz w:val="24"/>
        </w:rPr>
        <w:t>:</w:t>
      </w:r>
    </w:p>
    <w:tbl>
      <w:tblPr>
        <w:tblStyle w:val="Style_8"/>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129"/>
        <w:gridCol w:w="2833"/>
        <w:gridCol w:w="2833"/>
        <w:gridCol w:w="2833"/>
      </w:tblGrid>
      <w:tr>
        <w:tc>
          <w:tcPr>
            <w:tcW w:type="dxa" w:w="1129"/>
            <w:tcBorders>
              <w:top w:color="000000" w:sz="4" w:val="single"/>
              <w:left w:color="000000" w:sz="4" w:val="single"/>
              <w:bottom w:color="000000" w:sz="4" w:val="single"/>
              <w:right w:color="000000" w:sz="4" w:val="single"/>
            </w:tcBorders>
          </w:tcPr>
          <w:p w14:paraId="04040000">
            <w:pPr>
              <w:rPr>
                <w:rStyle w:val="Style_9_ch"/>
                <w:b w:val="1"/>
                <w:i w:val="0"/>
                <w:sz w:val="24"/>
              </w:rPr>
            </w:pPr>
            <w:r>
              <w:rPr>
                <w:rStyle w:val="Style_9_ch"/>
                <w:b w:val="1"/>
                <w:i w:val="0"/>
                <w:sz w:val="24"/>
              </w:rPr>
              <w:t xml:space="preserve">Код </w:t>
            </w:r>
            <w:r>
              <w:rPr>
                <w:rStyle w:val="Style_9_ch"/>
                <w:b w:val="1"/>
                <w:sz w:val="24"/>
              </w:rPr>
              <w:t>ОК, ПК</w:t>
            </w:r>
          </w:p>
        </w:tc>
        <w:tc>
          <w:tcPr>
            <w:tcW w:type="dxa" w:w="2833"/>
            <w:tcBorders>
              <w:top w:color="000000" w:sz="4" w:val="single"/>
              <w:left w:color="000000" w:sz="4" w:val="single"/>
              <w:bottom w:color="000000" w:sz="4" w:val="single"/>
              <w:right w:color="000000" w:sz="4" w:val="single"/>
            </w:tcBorders>
          </w:tcPr>
          <w:p w14:paraId="05040000">
            <w:pPr>
              <w:ind/>
              <w:jc w:val="center"/>
              <w:rPr>
                <w:rFonts w:ascii="Times New Roman" w:hAnsi="Times New Roman"/>
                <w:b w:val="1"/>
                <w:sz w:val="24"/>
              </w:rPr>
            </w:pPr>
            <w:r>
              <w:rPr>
                <w:rFonts w:ascii="Times New Roman" w:hAnsi="Times New Roman"/>
                <w:b w:val="1"/>
                <w:sz w:val="24"/>
              </w:rPr>
              <w:t>Уметь</w:t>
            </w:r>
          </w:p>
        </w:tc>
        <w:tc>
          <w:tcPr>
            <w:tcW w:type="dxa" w:w="2833"/>
            <w:tcBorders>
              <w:top w:color="000000" w:sz="4" w:val="single"/>
              <w:left w:color="000000" w:sz="4" w:val="single"/>
              <w:bottom w:color="000000" w:sz="4" w:val="single"/>
              <w:right w:color="000000" w:sz="4" w:val="single"/>
            </w:tcBorders>
            <w:shd w:fill="auto" w:val="clear"/>
          </w:tcPr>
          <w:p w14:paraId="06040000">
            <w:pPr>
              <w:ind/>
              <w:jc w:val="center"/>
              <w:rPr>
                <w:rFonts w:ascii="Times New Roman" w:hAnsi="Times New Roman"/>
                <w:b w:val="1"/>
                <w:i w:val="1"/>
                <w:sz w:val="24"/>
              </w:rPr>
            </w:pPr>
            <w:r>
              <w:rPr>
                <w:rFonts w:ascii="Times New Roman" w:hAnsi="Times New Roman"/>
                <w:b w:val="1"/>
                <w:sz w:val="24"/>
              </w:rPr>
              <w:t>Знать</w:t>
            </w:r>
          </w:p>
        </w:tc>
        <w:tc>
          <w:tcPr>
            <w:tcW w:type="dxa" w:w="2833"/>
            <w:tcBorders>
              <w:top w:color="000000" w:sz="4" w:val="single"/>
              <w:left w:color="000000" w:sz="4" w:val="single"/>
              <w:bottom w:color="000000" w:sz="4" w:val="single"/>
              <w:right w:color="000000" w:sz="4" w:val="single"/>
            </w:tcBorders>
          </w:tcPr>
          <w:p w14:paraId="07040000">
            <w:pPr>
              <w:ind/>
              <w:jc w:val="center"/>
              <w:rPr>
                <w:rFonts w:ascii="Times New Roman" w:hAnsi="Times New Roman"/>
                <w:b w:val="1"/>
                <w:i w:val="1"/>
                <w:sz w:val="24"/>
              </w:rPr>
            </w:pPr>
            <w:r>
              <w:rPr>
                <w:rFonts w:ascii="Times New Roman" w:hAnsi="Times New Roman"/>
                <w:b w:val="1"/>
                <w:sz w:val="24"/>
              </w:rPr>
              <w:t>Владеть навыками</w:t>
            </w:r>
          </w:p>
        </w:tc>
      </w:tr>
      <w:tr>
        <w:tc>
          <w:tcPr>
            <w:tcW w:type="dxa" w:w="1129"/>
            <w:tcBorders>
              <w:top w:color="000000" w:sz="4" w:val="single"/>
              <w:left w:color="000000" w:sz="4" w:val="single"/>
              <w:bottom w:color="000000" w:sz="4" w:val="single"/>
              <w:right w:color="000000" w:sz="4" w:val="single"/>
            </w:tcBorders>
          </w:tcPr>
          <w:p w14:paraId="08040000">
            <w:pPr>
              <w:rPr>
                <w:rFonts w:ascii="Times New Roman" w:hAnsi="Times New Roman"/>
                <w:sz w:val="24"/>
              </w:rPr>
            </w:pPr>
            <w:r>
              <w:rPr>
                <w:rFonts w:ascii="Times New Roman" w:hAnsi="Times New Roman"/>
                <w:sz w:val="24"/>
              </w:rPr>
              <w:t>ОК 02</w:t>
            </w:r>
          </w:p>
        </w:tc>
        <w:tc>
          <w:tcPr>
            <w:tcW w:type="dxa" w:w="2833"/>
            <w:tcBorders>
              <w:top w:color="000000" w:sz="4" w:val="single"/>
              <w:left w:color="000000" w:sz="4" w:val="single"/>
              <w:bottom w:color="000000" w:sz="4" w:val="single"/>
              <w:right w:color="000000" w:sz="4" w:val="single"/>
            </w:tcBorders>
          </w:tcPr>
          <w:p w14:paraId="09040000">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0A040000">
            <w:pPr>
              <w:rPr>
                <w:rFonts w:ascii="Times New Roman" w:hAnsi="Times New Roman"/>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0B040000">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0C040000">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p w14:paraId="0D040000">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p w14:paraId="0E040000">
            <w:pPr>
              <w:rPr>
                <w:rFonts w:ascii="Times New Roman" w:hAnsi="Times New Roman"/>
                <w:sz w:val="24"/>
              </w:rPr>
            </w:pPr>
            <w:r>
              <w:rPr>
                <w:rFonts w:ascii="Times New Roman" w:hAnsi="Times New Roman"/>
                <w:sz w:val="24"/>
              </w:rPr>
              <w:t xml:space="preserve">использовать различные цифровые средства для </w:t>
            </w:r>
            <w:r>
              <w:rPr>
                <w:rFonts w:ascii="Times New Roman" w:hAnsi="Times New Roman"/>
                <w:sz w:val="24"/>
              </w:rPr>
              <w:t>решения профессиональных задач</w:t>
            </w:r>
          </w:p>
        </w:tc>
        <w:tc>
          <w:tcPr>
            <w:tcW w:type="dxa" w:w="2833"/>
            <w:tcBorders>
              <w:top w:color="000000" w:sz="4" w:val="single"/>
              <w:left w:color="000000" w:sz="4" w:val="single"/>
              <w:bottom w:color="000000" w:sz="4" w:val="single"/>
              <w:right w:color="000000" w:sz="4" w:val="single"/>
            </w:tcBorders>
            <w:shd w:fill="auto" w:val="clear"/>
          </w:tcPr>
          <w:p w14:paraId="0F040000">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p w14:paraId="10040000">
            <w:pPr>
              <w:rPr>
                <w:rFonts w:ascii="Times New Roman" w:hAnsi="Times New Roman"/>
                <w:sz w:val="24"/>
              </w:rPr>
            </w:pPr>
            <w:r>
              <w:rPr>
                <w:rFonts w:ascii="Times New Roman" w:hAnsi="Times New Roman"/>
                <w:sz w:val="24"/>
              </w:rPr>
              <w:t>приемы структурирования информации</w:t>
            </w:r>
          </w:p>
          <w:p w14:paraId="11040000">
            <w:pPr>
              <w:rPr>
                <w:rFonts w:ascii="Times New Roman" w:hAnsi="Times New Roman"/>
                <w:sz w:val="24"/>
              </w:rPr>
            </w:pPr>
            <w:r>
              <w:rPr>
                <w:rFonts w:ascii="Times New Roman" w:hAnsi="Times New Roman"/>
                <w:sz w:val="24"/>
              </w:rPr>
              <w:t>формат оформления результатов поиска информации</w:t>
            </w:r>
          </w:p>
          <w:p w14:paraId="12040000">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p w14:paraId="13040000">
            <w:pPr>
              <w:rPr>
                <w:rFonts w:ascii="Times New Roman" w:hAnsi="Times New Roman"/>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type="dxa" w:w="2833"/>
            <w:tcBorders>
              <w:top w:color="000000" w:sz="4" w:val="single"/>
              <w:left w:color="000000" w:sz="4" w:val="single"/>
              <w:bottom w:color="000000" w:sz="4" w:val="single"/>
              <w:right w:color="000000" w:sz="4" w:val="single"/>
            </w:tcBorders>
          </w:tcPr>
          <w:p w14:paraId="14040000">
            <w:pPr>
              <w:ind/>
              <w:jc w:val="center"/>
              <w:rPr>
                <w:rFonts w:ascii="Times New Roman" w:hAnsi="Times New Roman"/>
                <w:sz w:val="24"/>
              </w:rPr>
            </w:pPr>
          </w:p>
        </w:tc>
      </w:tr>
      <w:tr>
        <w:tc>
          <w:tcPr>
            <w:tcW w:type="dxa" w:w="1129"/>
            <w:tcBorders>
              <w:top w:color="000000" w:sz="4" w:val="single"/>
              <w:left w:color="000000" w:sz="4" w:val="single"/>
              <w:bottom w:color="000000" w:sz="4" w:val="single"/>
              <w:right w:color="000000" w:sz="4" w:val="single"/>
            </w:tcBorders>
          </w:tcPr>
          <w:p w14:paraId="15040000">
            <w:pPr>
              <w:rPr>
                <w:rFonts w:ascii="Times New Roman" w:hAnsi="Times New Roman"/>
                <w:sz w:val="24"/>
              </w:rPr>
            </w:pPr>
            <w:r>
              <w:rPr>
                <w:rFonts w:ascii="Times New Roman" w:hAnsi="Times New Roman"/>
                <w:sz w:val="24"/>
              </w:rPr>
              <w:t xml:space="preserve">ПК </w:t>
            </w:r>
            <w:r>
              <w:rPr>
                <w:rFonts w:ascii="Times New Roman" w:hAnsi="Times New Roman"/>
                <w:sz w:val="24"/>
              </w:rPr>
              <w:t>2.1.</w:t>
            </w:r>
          </w:p>
        </w:tc>
        <w:tc>
          <w:tcPr>
            <w:tcW w:type="dxa" w:w="2833"/>
            <w:tcBorders>
              <w:top w:color="000000" w:sz="4" w:val="single"/>
              <w:left w:color="000000" w:sz="4" w:val="single"/>
              <w:bottom w:color="000000" w:sz="4" w:val="single"/>
              <w:right w:color="000000" w:sz="4" w:val="single"/>
            </w:tcBorders>
          </w:tcPr>
          <w:p w14:paraId="16040000">
            <w:pPr>
              <w:rPr>
                <w:rFonts w:ascii="Times New Roman" w:hAnsi="Times New Roman"/>
                <w:sz w:val="24"/>
              </w:rPr>
            </w:pPr>
            <w:r>
              <w:rPr>
                <w:rFonts w:ascii="Times New Roman" w:hAnsi="Times New Roman"/>
                <w:sz w:val="24"/>
              </w:rPr>
              <w:t>осуществлять документирование этапов инвентаризации</w:t>
            </w:r>
          </w:p>
          <w:p w14:paraId="17040000">
            <w:pPr>
              <w:rPr>
                <w:rFonts w:ascii="Times New Roman" w:hAnsi="Times New Roman"/>
                <w:sz w:val="24"/>
              </w:rPr>
            </w:pPr>
            <w:r>
              <w:rPr>
                <w:rFonts w:ascii="Times New Roman" w:hAnsi="Times New Roman"/>
                <w:sz w:val="24"/>
              </w:rPr>
              <w:t>проводить фактический подсчет активов</w:t>
            </w:r>
          </w:p>
          <w:p w14:paraId="18040000">
            <w:pPr>
              <w:rPr>
                <w:rFonts w:ascii="Times New Roman" w:hAnsi="Times New Roman"/>
                <w:sz w:val="24"/>
              </w:rPr>
            </w:pPr>
            <w:r>
              <w:rPr>
                <w:rFonts w:ascii="Times New Roman" w:hAnsi="Times New Roman"/>
                <w:sz w:val="24"/>
              </w:rPr>
              <w:t>Осуществлять инвентаризацию обязательств</w:t>
            </w:r>
          </w:p>
          <w:p w14:paraId="19040000">
            <w:pPr>
              <w:rPr>
                <w:rFonts w:ascii="Times New Roman" w:hAnsi="Times New Roman"/>
                <w:sz w:val="24"/>
              </w:rPr>
            </w:pPr>
            <w:r>
              <w:rPr>
                <w:rFonts w:ascii="Times New Roman" w:hAnsi="Times New Roman"/>
                <w:sz w:val="24"/>
              </w:rPr>
              <w:t>составлять бухгалтерские записи по отражению результатов инвентаризации и урегулированию инвентаризационных разниц</w:t>
            </w:r>
          </w:p>
        </w:tc>
        <w:tc>
          <w:tcPr>
            <w:tcW w:type="dxa" w:w="2833"/>
            <w:tcBorders>
              <w:top w:color="000000" w:sz="4" w:val="single"/>
              <w:left w:color="000000" w:sz="4" w:val="single"/>
              <w:bottom w:color="000000" w:sz="4" w:val="single"/>
              <w:right w:color="000000" w:sz="4" w:val="single"/>
            </w:tcBorders>
            <w:shd w:fill="auto" w:val="clear"/>
          </w:tcPr>
          <w:p w14:paraId="1A040000">
            <w:pPr>
              <w:rPr>
                <w:rFonts w:ascii="Times New Roman" w:hAnsi="Times New Roman"/>
                <w:sz w:val="24"/>
              </w:rPr>
            </w:pPr>
            <w:r>
              <w:rPr>
                <w:rFonts w:ascii="Times New Roman" w:hAnsi="Times New Roman"/>
                <w:sz w:val="24"/>
              </w:rPr>
              <w:t>нормативные правовые акты, регулирующие порядок проведения инвентаризации активов и обязательств</w:t>
            </w:r>
          </w:p>
          <w:p w14:paraId="1B040000">
            <w:pPr>
              <w:rPr>
                <w:rFonts w:ascii="Times New Roman" w:hAnsi="Times New Roman"/>
                <w:sz w:val="24"/>
              </w:rPr>
            </w:pPr>
            <w:r>
              <w:rPr>
                <w:rFonts w:ascii="Times New Roman" w:hAnsi="Times New Roman"/>
                <w:sz w:val="24"/>
              </w:rPr>
              <w:t>периодичность, и порядок проведения инвентаризации различных объектов бухгалтерского учета</w:t>
            </w:r>
          </w:p>
          <w:p w14:paraId="1C040000">
            <w:pPr>
              <w:rPr>
                <w:rFonts w:ascii="Times New Roman" w:hAnsi="Times New Roman"/>
                <w:sz w:val="24"/>
              </w:rPr>
            </w:pPr>
            <w:r>
              <w:rPr>
                <w:rFonts w:ascii="Times New Roman" w:hAnsi="Times New Roman"/>
                <w:sz w:val="24"/>
              </w:rPr>
              <w:t>процесс подготовки к инвентаризации, порядок оформления сличительных ведомостей, инвентаризационных описей, актов инвентаризации</w:t>
            </w:r>
          </w:p>
          <w:p w14:paraId="1D040000">
            <w:pPr>
              <w:rPr>
                <w:rFonts w:ascii="Times New Roman" w:hAnsi="Times New Roman"/>
                <w:sz w:val="24"/>
              </w:rPr>
            </w:pPr>
            <w:r>
              <w:rPr>
                <w:rFonts w:ascii="Times New Roman" w:hAnsi="Times New Roman"/>
                <w:sz w:val="24"/>
              </w:rPr>
              <w:t>порядок отражения в учете результатов инвентаризации</w:t>
            </w:r>
          </w:p>
        </w:tc>
        <w:tc>
          <w:tcPr>
            <w:tcW w:type="dxa" w:w="2833"/>
            <w:tcBorders>
              <w:top w:color="000000" w:sz="4" w:val="single"/>
              <w:left w:color="000000" w:sz="4" w:val="single"/>
              <w:bottom w:color="000000" w:sz="4" w:val="single"/>
              <w:right w:color="000000" w:sz="4" w:val="single"/>
            </w:tcBorders>
          </w:tcPr>
          <w:p w14:paraId="1E040000">
            <w:pPr>
              <w:rPr>
                <w:rFonts w:ascii="Times New Roman" w:hAnsi="Times New Roman"/>
                <w:sz w:val="24"/>
              </w:rPr>
            </w:pPr>
            <w:r>
              <w:rPr>
                <w:rFonts w:ascii="Times New Roman" w:hAnsi="Times New Roman"/>
                <w:sz w:val="24"/>
              </w:rPr>
              <w:t>обеспечение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1F040000">
            <w:pPr>
              <w:rPr>
                <w:rFonts w:ascii="Times New Roman" w:hAnsi="Times New Roman"/>
                <w:sz w:val="24"/>
              </w:rPr>
            </w:pPr>
            <w:r>
              <w:rPr>
                <w:rFonts w:ascii="Times New Roman" w:hAnsi="Times New Roman"/>
                <w:sz w:val="24"/>
              </w:rPr>
              <w:t>сопоставление результатов инвентаризации с данными регистров бухгалтерского учета и составление сличительных ведомостей</w:t>
            </w:r>
          </w:p>
          <w:p w14:paraId="20040000">
            <w:pPr>
              <w:rPr>
                <w:rFonts w:ascii="Times New Roman" w:hAnsi="Times New Roman"/>
                <w:sz w:val="24"/>
              </w:rPr>
            </w:pPr>
            <w:r>
              <w:rPr>
                <w:rFonts w:ascii="Times New Roman" w:hAnsi="Times New Roman"/>
                <w:sz w:val="24"/>
              </w:rPr>
              <w:t>отражения в учете результатов инвентаризации и урегулирования инвентаризационных разниц</w:t>
            </w:r>
          </w:p>
        </w:tc>
      </w:tr>
      <w:tr>
        <w:trPr>
          <w:trHeight w:hRule="atLeast" w:val="327"/>
        </w:trPr>
        <w:tc>
          <w:tcPr>
            <w:tcW w:type="dxa" w:w="1129"/>
            <w:tcBorders>
              <w:top w:color="000000" w:sz="4" w:val="single"/>
              <w:left w:color="000000" w:sz="4" w:val="single"/>
              <w:bottom w:color="000000" w:sz="4" w:val="single"/>
              <w:right w:color="000000" w:sz="4" w:val="single"/>
            </w:tcBorders>
          </w:tcPr>
          <w:p w14:paraId="21040000">
            <w:pPr>
              <w:rPr>
                <w:rFonts w:ascii="Times New Roman" w:hAnsi="Times New Roman"/>
                <w:sz w:val="24"/>
              </w:rPr>
            </w:pPr>
            <w:r>
              <w:rPr>
                <w:rFonts w:ascii="Times New Roman" w:hAnsi="Times New Roman"/>
                <w:sz w:val="24"/>
              </w:rPr>
              <w:t>ПК 2.2.</w:t>
            </w:r>
          </w:p>
        </w:tc>
        <w:tc>
          <w:tcPr>
            <w:tcW w:type="dxa" w:w="2833"/>
            <w:tcBorders>
              <w:top w:color="000000" w:sz="4" w:val="single"/>
              <w:left w:color="000000" w:sz="4" w:val="single"/>
              <w:bottom w:color="000000" w:sz="4" w:val="single"/>
              <w:right w:color="000000" w:sz="4" w:val="single"/>
            </w:tcBorders>
          </w:tcPr>
          <w:p w14:paraId="22040000">
            <w:pPr>
              <w:rPr>
                <w:rFonts w:ascii="Times New Roman" w:hAnsi="Times New Roman"/>
                <w:sz w:val="24"/>
              </w:rPr>
            </w:pPr>
            <w:r>
              <w:rPr>
                <w:rFonts w:ascii="Times New Roman" w:hAnsi="Times New Roman"/>
                <w:sz w:val="24"/>
              </w:rPr>
              <w:t>разрабатывать внутренние организационно-распорядительные документы, в том числе стандарты бухгалтерского учета экономического субъекта</w:t>
            </w:r>
          </w:p>
          <w:p w14:paraId="23040000">
            <w:pPr>
              <w:rPr>
                <w:rFonts w:ascii="Times New Roman" w:hAnsi="Times New Roman"/>
                <w:sz w:val="24"/>
              </w:rPr>
            </w:pPr>
            <w:r>
              <w:rPr>
                <w:rFonts w:ascii="Times New Roman" w:hAnsi="Times New Roman"/>
                <w:sz w:val="24"/>
              </w:rPr>
              <w:t>определять (разрабатывать) способы ведения бухгалтерского учета и формировать учетную политику экономического субъекта</w:t>
            </w:r>
          </w:p>
          <w:p w14:paraId="24040000">
            <w:pPr>
              <w:rPr>
                <w:rFonts w:ascii="Times New Roman" w:hAnsi="Times New Roman"/>
                <w:sz w:val="24"/>
              </w:rPr>
            </w:pPr>
            <w:r>
              <w:rPr>
                <w:rFonts w:ascii="Times New Roman" w:hAnsi="Times New Roman"/>
                <w:sz w:val="24"/>
              </w:rPr>
              <w:t>оценивать возможные последствия изменений в учетной политике экономического субъекта, в том числе их влияние на его дальнейшую деятельность</w:t>
            </w:r>
          </w:p>
          <w:p w14:paraId="25040000">
            <w:pPr>
              <w:rPr>
                <w:rFonts w:ascii="Times New Roman" w:hAnsi="Times New Roman"/>
                <w:sz w:val="24"/>
              </w:rPr>
            </w:pPr>
            <w:r>
              <w:rPr>
                <w:rFonts w:ascii="Times New Roman" w:hAnsi="Times New Roman"/>
                <w:sz w:val="24"/>
              </w:rPr>
              <w:t xml:space="preserve">разрабатывать формы первичных учетных документов, регистров </w:t>
            </w:r>
            <w:r>
              <w:rPr>
                <w:rFonts w:ascii="Times New Roman" w:hAnsi="Times New Roman"/>
                <w:sz w:val="24"/>
              </w:rPr>
              <w:t>бухгалтерского учета, формы бухгалтерской (финансовой) отчетности и составлять график документооборота</w:t>
            </w:r>
          </w:p>
          <w:p w14:paraId="26040000">
            <w:pPr>
              <w:rPr>
                <w:rFonts w:ascii="Times New Roman" w:hAnsi="Times New Roman"/>
                <w:sz w:val="24"/>
              </w:rPr>
            </w:pPr>
            <w:r>
              <w:rPr>
                <w:rFonts w:ascii="Times New Roman" w:hAnsi="Times New Roman"/>
                <w:sz w:val="24"/>
              </w:rPr>
              <w:t>планировать объемы и сроки выполнения работ в отчетный период для целей составления бухгалтерской (финансовой) отчетности</w:t>
            </w:r>
          </w:p>
          <w:p w14:paraId="27040000">
            <w:pPr>
              <w:rPr>
                <w:rFonts w:ascii="Times New Roman" w:hAnsi="Times New Roman"/>
                <w:sz w:val="24"/>
              </w:rPr>
            </w:pPr>
            <w:r>
              <w:rPr>
                <w:rFonts w:ascii="Times New Roman" w:hAnsi="Times New Roman"/>
                <w:sz w:val="24"/>
              </w:rPr>
              <w:t>распределять объем учетных работ между работниками (группами работников) бухгалтерской службы</w:t>
            </w:r>
          </w:p>
          <w:p w14:paraId="28040000">
            <w:pPr>
              <w:rPr>
                <w:rFonts w:ascii="Times New Roman" w:hAnsi="Times New Roman"/>
                <w:sz w:val="24"/>
              </w:rPr>
            </w:pPr>
            <w:r>
              <w:rPr>
                <w:rFonts w:ascii="Times New Roman" w:hAnsi="Times New Roman"/>
                <w:sz w:val="24"/>
              </w:rPr>
              <w:t>формировать в соответствии с установленными правилами числовые показатели в отчетах, входящих в состав бухгалтерской (финансовой) отчетности, при централизованном и децентрализованном ведении бухгалтерского учета</w:t>
            </w:r>
          </w:p>
          <w:p w14:paraId="29040000">
            <w:pPr>
              <w:rPr>
                <w:rFonts w:ascii="Times New Roman" w:hAnsi="Times New Roman"/>
                <w:sz w:val="24"/>
              </w:rPr>
            </w:pPr>
            <w:r>
              <w:rPr>
                <w:rFonts w:ascii="Times New Roman" w:hAnsi="Times New Roman"/>
                <w:sz w:val="24"/>
              </w:rPr>
              <w:t>составлять бухгалтерскую (финансовую) отчетность при реорганизации или ликвидации юридического лица</w:t>
            </w:r>
          </w:p>
          <w:p w14:paraId="2A040000">
            <w:pPr>
              <w:rPr>
                <w:rFonts w:ascii="Times New Roman" w:hAnsi="Times New Roman"/>
                <w:sz w:val="24"/>
              </w:rPr>
            </w:pPr>
            <w:r>
              <w:rPr>
                <w:rFonts w:ascii="Times New Roman" w:hAnsi="Times New Roman"/>
                <w:sz w:val="24"/>
              </w:rPr>
              <w:t>обосновывать принятые экономическим субъектом решения при проведении внутреннего контроля, государственного (муниципального) финансового контроля, внутреннего и внешнего аудита, ревизий, налоговых и иных проверок</w:t>
            </w:r>
          </w:p>
          <w:p w14:paraId="2B040000">
            <w:pPr>
              <w:rPr>
                <w:rFonts w:ascii="Times New Roman" w:hAnsi="Times New Roman"/>
                <w:sz w:val="24"/>
              </w:rPr>
            </w:pPr>
            <w:r>
              <w:rPr>
                <w:rFonts w:ascii="Times New Roman" w:hAnsi="Times New Roman"/>
                <w:sz w:val="24"/>
              </w:rPr>
              <w:t xml:space="preserve">использовать внутренние организационно-распорядительные документы, </w:t>
            </w:r>
            <w:r>
              <w:rPr>
                <w:rFonts w:ascii="Times New Roman" w:hAnsi="Times New Roman"/>
                <w:sz w:val="24"/>
              </w:rPr>
              <w:t>регламентирующие ведение налогового учета, составление налоговых расчетов и деклараций</w:t>
            </w:r>
          </w:p>
          <w:p w14:paraId="2C040000">
            <w:pPr>
              <w:rPr>
                <w:rFonts w:ascii="Times New Roman" w:hAnsi="Times New Roman"/>
                <w:sz w:val="24"/>
              </w:rPr>
            </w:pPr>
            <w:r>
              <w:rPr>
                <w:rFonts w:ascii="Times New Roman" w:hAnsi="Times New Roman"/>
                <w:sz w:val="24"/>
              </w:rPr>
              <w:t>обеспечивать установленные сроки выполнения работ и представления налоговых расчетов и деклараций, отчетности в государственные органы</w:t>
            </w:r>
          </w:p>
        </w:tc>
        <w:tc>
          <w:tcPr>
            <w:tcW w:type="dxa" w:w="2833"/>
            <w:tcBorders>
              <w:top w:color="000000" w:sz="4" w:val="single"/>
              <w:left w:color="000000" w:sz="4" w:val="single"/>
              <w:bottom w:color="000000" w:sz="4" w:val="single"/>
              <w:right w:color="000000" w:sz="4" w:val="single"/>
            </w:tcBorders>
            <w:shd w:fill="auto" w:val="clear"/>
          </w:tcPr>
          <w:p w14:paraId="2D040000">
            <w:pPr>
              <w:rPr>
                <w:rFonts w:ascii="Times New Roman" w:hAnsi="Times New Roman"/>
                <w:sz w:val="24"/>
              </w:rPr>
            </w:pPr>
            <w:r>
              <w:rPr>
                <w:rFonts w:ascii="Times New Roman" w:hAnsi="Times New Roman"/>
                <w:sz w:val="24"/>
              </w:rPr>
              <w:t xml:space="preserve">законодательство Российской Федерации о бухгалтерском учете, налогах и сборах, аудиторской деятельности, официальном статистическом учете,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о порядке изъятия бухгалтерских документов, об ответственности за непредставление или </w:t>
            </w:r>
            <w:r>
              <w:rPr>
                <w:rFonts w:ascii="Times New Roman" w:hAnsi="Times New Roman"/>
                <w:sz w:val="24"/>
              </w:rPr>
              <w:t>представление недостоверной отчетности;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2E040000">
            <w:pPr>
              <w:rPr>
                <w:rFonts w:ascii="Times New Roman" w:hAnsi="Times New Roman"/>
                <w:sz w:val="24"/>
              </w:rPr>
            </w:pPr>
            <w:r>
              <w:rPr>
                <w:rFonts w:ascii="Times New Roman" w:hAnsi="Times New Roman"/>
                <w:sz w:val="24"/>
              </w:rPr>
              <w:t>международные стандарты финансовой отчетности (в зависимости от сферы деятельности экономического субъекта)</w:t>
            </w:r>
          </w:p>
          <w:p w14:paraId="2F040000">
            <w:pPr>
              <w:rPr>
                <w:rFonts w:ascii="Times New Roman" w:hAnsi="Times New Roman"/>
                <w:sz w:val="24"/>
              </w:rPr>
            </w:pPr>
            <w:r>
              <w:rPr>
                <w:rFonts w:ascii="Times New Roman" w:hAnsi="Times New Roman"/>
                <w:sz w:val="24"/>
              </w:rPr>
              <w:t>порядок обмена информацией по телекоммуникационным каналам связи</w:t>
            </w:r>
          </w:p>
          <w:p w14:paraId="30040000">
            <w:pPr>
              <w:rPr>
                <w:rFonts w:ascii="Times New Roman" w:hAnsi="Times New Roman"/>
                <w:sz w:val="24"/>
              </w:rPr>
            </w:pPr>
            <w:r>
              <w:rPr>
                <w:rFonts w:ascii="Times New Roman" w:hAnsi="Times New Roman"/>
                <w:sz w:val="24"/>
              </w:rPr>
              <w:t>судебная практика по налогообложению</w:t>
            </w:r>
          </w:p>
        </w:tc>
        <w:tc>
          <w:tcPr>
            <w:tcW w:type="dxa" w:w="2833"/>
            <w:tcBorders>
              <w:top w:color="000000" w:sz="4" w:val="single"/>
              <w:left w:color="000000" w:sz="4" w:val="single"/>
              <w:bottom w:color="000000" w:sz="4" w:val="single"/>
              <w:right w:color="000000" w:sz="4" w:val="single"/>
            </w:tcBorders>
          </w:tcPr>
          <w:p w14:paraId="31040000">
            <w:pPr>
              <w:rPr>
                <w:rFonts w:ascii="Times New Roman" w:hAnsi="Times New Roman"/>
                <w:sz w:val="24"/>
              </w:rPr>
            </w:pPr>
            <w:r>
              <w:rPr>
                <w:rFonts w:ascii="Times New Roman" w:hAnsi="Times New Roman"/>
                <w:sz w:val="24"/>
              </w:rPr>
              <w:t>формирование числовых показателей отчетов, входящих в состав бухгалтерской (финансовой) отчетности</w:t>
            </w:r>
          </w:p>
          <w:p w14:paraId="32040000">
            <w:pPr>
              <w:rPr>
                <w:rFonts w:ascii="Times New Roman" w:hAnsi="Times New Roman"/>
                <w:sz w:val="24"/>
              </w:rPr>
            </w:pPr>
            <w:r>
              <w:rPr>
                <w:rFonts w:ascii="Times New Roman" w:hAnsi="Times New Roman"/>
                <w:sz w:val="24"/>
              </w:rPr>
              <w:t>счетная и логическая проверка правильности формирования числовых показателей отчетов, входящих в состав бухгалтерской (финансовой) отчетности</w:t>
            </w:r>
          </w:p>
          <w:p w14:paraId="33040000">
            <w:pPr>
              <w:rPr>
                <w:rFonts w:ascii="Times New Roman" w:hAnsi="Times New Roman"/>
                <w:sz w:val="24"/>
              </w:rPr>
            </w:pPr>
            <w:r>
              <w:rPr>
                <w:rFonts w:ascii="Times New Roman" w:hAnsi="Times New Roman"/>
                <w:sz w:val="24"/>
              </w:rPr>
              <w:t>формирование пояснений к бухгалтерскому балансу и отчету о финансовых результатах</w:t>
            </w:r>
          </w:p>
          <w:p w14:paraId="34040000">
            <w:pPr>
              <w:rPr>
                <w:rFonts w:ascii="Times New Roman" w:hAnsi="Times New Roman"/>
                <w:sz w:val="24"/>
              </w:rPr>
            </w:pPr>
            <w:r>
              <w:rPr>
                <w:rFonts w:ascii="Times New Roman" w:hAnsi="Times New Roman"/>
                <w:sz w:val="24"/>
              </w:rPr>
              <w:t>обеспечение ознакомления, согласования и подписания руководителем экономического субъекта бухгалтерской (финансовой) отчетности</w:t>
            </w:r>
          </w:p>
          <w:p w14:paraId="35040000">
            <w:pPr>
              <w:rPr>
                <w:rFonts w:ascii="Times New Roman" w:hAnsi="Times New Roman"/>
                <w:sz w:val="24"/>
              </w:rPr>
            </w:pPr>
            <w:r>
              <w:rPr>
                <w:rFonts w:ascii="Times New Roman" w:hAnsi="Times New Roman"/>
                <w:sz w:val="24"/>
              </w:rPr>
              <w:t xml:space="preserve">организация передачи бухгалтерской </w:t>
            </w:r>
            <w:r>
              <w:rPr>
                <w:rFonts w:ascii="Times New Roman" w:hAnsi="Times New Roman"/>
                <w:sz w:val="24"/>
              </w:rPr>
              <w:t>(финансовой) отчетности в архив в установленные сроки</w:t>
            </w:r>
          </w:p>
          <w:p w14:paraId="36040000">
            <w:pPr>
              <w:rPr>
                <w:rFonts w:ascii="Times New Roman" w:hAnsi="Times New Roman"/>
                <w:sz w:val="24"/>
              </w:rPr>
            </w:pPr>
            <w:r>
              <w:rPr>
                <w:rFonts w:ascii="Times New Roman" w:hAnsi="Times New Roman"/>
                <w:sz w:val="24"/>
              </w:rPr>
              <w:t>составление налоговых расчетов и деклараций в экономическом субъекте</w:t>
            </w:r>
          </w:p>
          <w:p w14:paraId="37040000">
            <w:pPr>
              <w:rPr>
                <w:rFonts w:ascii="Times New Roman" w:hAnsi="Times New Roman"/>
                <w:sz w:val="24"/>
              </w:rPr>
            </w:pPr>
            <w:r>
              <w:rPr>
                <w:rFonts w:ascii="Times New Roman" w:hAnsi="Times New Roman"/>
                <w:sz w:val="24"/>
              </w:rPr>
              <w:t>обеспечение представления налоговых расчетов и деклараций, отчетности в государственные органы в надлежащие адреса и в установленные сроки</w:t>
            </w:r>
          </w:p>
          <w:p w14:paraId="38040000">
            <w:pPr>
              <w:rPr>
                <w:rFonts w:ascii="Times New Roman" w:hAnsi="Times New Roman"/>
                <w:sz w:val="24"/>
              </w:rPr>
            </w:pPr>
            <w:r>
              <w:rPr>
                <w:rFonts w:ascii="Times New Roman" w:hAnsi="Times New Roman"/>
                <w:sz w:val="24"/>
              </w:rPr>
              <w:t>обеспечение сохранности бухгалтерской (финансовой) отчетности и регистров налогового учета, налоговых расчетов и деклараций, отчетности в государственные органы и последующей их передачи в архив</w:t>
            </w:r>
          </w:p>
        </w:tc>
      </w:tr>
      <w:tr>
        <w:trPr>
          <w:trHeight w:hRule="atLeast" w:val="327"/>
        </w:trPr>
        <w:tc>
          <w:tcPr>
            <w:tcW w:type="dxa" w:w="1129"/>
            <w:tcBorders>
              <w:top w:color="000000" w:sz="4" w:val="single"/>
              <w:left w:color="000000" w:sz="4" w:val="single"/>
              <w:bottom w:color="000000" w:sz="4" w:val="single"/>
              <w:right w:color="000000" w:sz="4" w:val="single"/>
            </w:tcBorders>
          </w:tcPr>
          <w:p w14:paraId="39040000">
            <w:pPr>
              <w:rPr>
                <w:rFonts w:ascii="Times New Roman" w:hAnsi="Times New Roman"/>
                <w:sz w:val="24"/>
              </w:rPr>
            </w:pPr>
            <w:r>
              <w:rPr>
                <w:rFonts w:ascii="Times New Roman" w:hAnsi="Times New Roman"/>
                <w:sz w:val="24"/>
              </w:rPr>
              <w:t>ПК 2.3.</w:t>
            </w:r>
          </w:p>
        </w:tc>
        <w:tc>
          <w:tcPr>
            <w:tcW w:type="dxa" w:w="2833"/>
            <w:tcBorders>
              <w:top w:color="000000" w:sz="4" w:val="single"/>
              <w:left w:color="000000" w:sz="4" w:val="single"/>
              <w:bottom w:color="000000" w:sz="4" w:val="single"/>
              <w:right w:color="000000" w:sz="4" w:val="single"/>
            </w:tcBorders>
          </w:tcPr>
          <w:p w14:paraId="3A040000">
            <w:pPr>
              <w:rPr>
                <w:rFonts w:ascii="Times New Roman" w:hAnsi="Times New Roman"/>
                <w:sz w:val="24"/>
              </w:rPr>
            </w:pPr>
            <w:r>
              <w:rPr>
                <w:rFonts w:ascii="Times New Roman" w:hAnsi="Times New Roman"/>
                <w:sz w:val="24"/>
              </w:rPr>
              <w:t>осуществлять внутренний контроль ведения бухгалтерского учета и составления бухгалтерской (финансовой) отчетности экономического субъекта</w:t>
            </w:r>
          </w:p>
          <w:p w14:paraId="3B040000">
            <w:pPr>
              <w:rPr>
                <w:rFonts w:ascii="Times New Roman" w:hAnsi="Times New Roman"/>
                <w:sz w:val="24"/>
              </w:rPr>
            </w:pPr>
            <w:r>
              <w:rPr>
                <w:rFonts w:ascii="Times New Roman" w:hAnsi="Times New Roman"/>
                <w:sz w:val="24"/>
              </w:rPr>
              <w:t>проверять качество составления регистров бухгалтерского учета, бухгалтерской (финансовой) отчетности</w:t>
            </w:r>
          </w:p>
          <w:p w14:paraId="3C040000">
            <w:pPr>
              <w:rPr>
                <w:rFonts w:ascii="Times New Roman" w:hAnsi="Times New Roman"/>
                <w:sz w:val="24"/>
              </w:rPr>
            </w:pPr>
            <w:r>
              <w:rPr>
                <w:rFonts w:ascii="Times New Roman" w:hAnsi="Times New Roman"/>
                <w:sz w:val="24"/>
              </w:rPr>
              <w:t>определять и изменять границы контрольной среды экономического субъекта</w:t>
            </w:r>
          </w:p>
          <w:p w14:paraId="3D040000">
            <w:pPr>
              <w:rPr>
                <w:rFonts w:ascii="Times New Roman" w:hAnsi="Times New Roman"/>
                <w:sz w:val="24"/>
              </w:rPr>
            </w:pPr>
            <w:r>
              <w:rPr>
                <w:rFonts w:ascii="Times New Roman" w:hAnsi="Times New Roman"/>
                <w:sz w:val="24"/>
              </w:rPr>
              <w:t>проводить оценку состояния и эффективности внутреннего контроля в экономическом субъекте</w:t>
            </w:r>
          </w:p>
          <w:p w14:paraId="3E040000">
            <w:pPr>
              <w:rPr>
                <w:rFonts w:ascii="Times New Roman" w:hAnsi="Times New Roman"/>
                <w:sz w:val="24"/>
              </w:rPr>
            </w:pPr>
            <w:r>
              <w:rPr>
                <w:rFonts w:ascii="Times New Roman" w:hAnsi="Times New Roman"/>
                <w:sz w:val="24"/>
              </w:rPr>
              <w:t>осуществлять процесс восстановления бухгалтерского учета</w:t>
            </w:r>
          </w:p>
          <w:p w14:paraId="3F040000">
            <w:pPr>
              <w:rPr>
                <w:rFonts w:ascii="Times New Roman" w:hAnsi="Times New Roman"/>
                <w:sz w:val="24"/>
              </w:rPr>
            </w:pPr>
            <w:r>
              <w:rPr>
                <w:rFonts w:ascii="Times New Roman" w:hAnsi="Times New Roman"/>
                <w:sz w:val="24"/>
              </w:rPr>
              <w:t>оценивать существенность информации, раскрываемой в бухгалтерской (финансовой) отчетности</w:t>
            </w:r>
          </w:p>
          <w:p w14:paraId="40040000">
            <w:pPr>
              <w:rPr>
                <w:rFonts w:ascii="Times New Roman" w:hAnsi="Times New Roman"/>
                <w:sz w:val="24"/>
              </w:rPr>
            </w:pPr>
            <w:r>
              <w:rPr>
                <w:rFonts w:ascii="Times New Roman" w:hAnsi="Times New Roman"/>
                <w:sz w:val="24"/>
              </w:rPr>
              <w:t>собирать информацию из различных источников, систематизировать, обобщать и анализировать ее</w:t>
            </w:r>
          </w:p>
          <w:p w14:paraId="41040000">
            <w:pPr>
              <w:rPr>
                <w:rFonts w:ascii="Times New Roman" w:hAnsi="Times New Roman"/>
                <w:sz w:val="24"/>
              </w:rPr>
            </w:pPr>
            <w:r>
              <w:rPr>
                <w:rFonts w:ascii="Times New Roman" w:hAnsi="Times New Roman"/>
                <w:sz w:val="24"/>
              </w:rPr>
              <w:t xml:space="preserve">применять на практике нормативные правовые </w:t>
            </w:r>
            <w:r>
              <w:rPr>
                <w:rFonts w:ascii="Times New Roman" w:hAnsi="Times New Roman"/>
                <w:sz w:val="24"/>
              </w:rPr>
              <w:t>акты в соответствующих областях знаний</w:t>
            </w:r>
          </w:p>
          <w:p w14:paraId="42040000">
            <w:pPr>
              <w:rPr>
                <w:rFonts w:ascii="Times New Roman" w:hAnsi="Times New Roman"/>
                <w:sz w:val="24"/>
              </w:rPr>
            </w:pPr>
            <w:r>
              <w:rPr>
                <w:rFonts w:ascii="Times New Roman" w:hAnsi="Times New Roman"/>
                <w:sz w:val="24"/>
              </w:rPr>
              <w:t>применять на практике методы отбора элементов для проведения аудиторских процедур, экстраполировать результаты аудиторской выборки на генеральную совокупность</w:t>
            </w:r>
          </w:p>
          <w:p w14:paraId="43040000">
            <w:pPr>
              <w:rPr>
                <w:rFonts w:ascii="Times New Roman" w:hAnsi="Times New Roman"/>
                <w:sz w:val="24"/>
              </w:rPr>
            </w:pPr>
            <w:r>
              <w:rPr>
                <w:rFonts w:ascii="Times New Roman" w:hAnsi="Times New Roman"/>
                <w:sz w:val="24"/>
              </w:rPr>
              <w:t>подготавливать и оформлять рабочие документы</w:t>
            </w:r>
          </w:p>
        </w:tc>
        <w:tc>
          <w:tcPr>
            <w:tcW w:type="dxa" w:w="2833"/>
            <w:tcBorders>
              <w:top w:color="000000" w:sz="4" w:val="single"/>
              <w:left w:color="000000" w:sz="4" w:val="single"/>
              <w:bottom w:color="000000" w:sz="4" w:val="single"/>
              <w:right w:color="000000" w:sz="4" w:val="single"/>
            </w:tcBorders>
            <w:shd w:fill="auto" w:val="clear"/>
          </w:tcPr>
          <w:p w14:paraId="44040000">
            <w:pPr>
              <w:rPr>
                <w:rFonts w:ascii="Times New Roman" w:hAnsi="Times New Roman"/>
                <w:sz w:val="24"/>
              </w:rPr>
            </w:pPr>
            <w:r>
              <w:rPr>
                <w:rFonts w:ascii="Times New Roman" w:hAnsi="Times New Roman"/>
                <w:sz w:val="24"/>
              </w:rPr>
              <w:t>методики внутреннего контроля ведения бухгалтерского учета и составления бухгалтерской (финансовой) отчетности</w:t>
            </w:r>
          </w:p>
          <w:p w14:paraId="45040000">
            <w:pPr>
              <w:rPr>
                <w:rFonts w:ascii="Times New Roman" w:hAnsi="Times New Roman"/>
                <w:sz w:val="24"/>
              </w:rPr>
            </w:pPr>
            <w:r>
              <w:rPr>
                <w:rFonts w:ascii="Times New Roman" w:hAnsi="Times New Roman"/>
                <w:sz w:val="24"/>
              </w:rPr>
              <w:t>законодательство Российской Федерации о бухгалтерском учете, налогах и сборах, аудиторской деятельности,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46040000">
            <w:pPr>
              <w:rPr>
                <w:rFonts w:ascii="Times New Roman" w:hAnsi="Times New Roman"/>
                <w:sz w:val="24"/>
              </w:rPr>
            </w:pPr>
            <w:r>
              <w:rPr>
                <w:rFonts w:ascii="Times New Roman" w:hAnsi="Times New Roman"/>
                <w:sz w:val="24"/>
              </w:rPr>
              <w:t>порядок составления сводных учетных документов в целях осуществления контроля и упорядочения обработки данных о фактах хозяйственной жизни</w:t>
            </w:r>
          </w:p>
          <w:p w14:paraId="47040000">
            <w:pPr>
              <w:rPr>
                <w:rFonts w:ascii="Times New Roman" w:hAnsi="Times New Roman"/>
                <w:sz w:val="24"/>
              </w:rPr>
            </w:pPr>
            <w:r>
              <w:rPr>
                <w:rFonts w:ascii="Times New Roman" w:hAnsi="Times New Roman"/>
                <w:sz w:val="24"/>
              </w:rPr>
              <w:t>отечественный и зарубежный опыт в сфере организации и осуществления внутреннего контроля ведения бухгалтерского учета и составления бухгалтерской (финансовой) отчетности</w:t>
            </w:r>
          </w:p>
          <w:p w14:paraId="48040000">
            <w:pPr>
              <w:rPr>
                <w:rFonts w:ascii="Times New Roman" w:hAnsi="Times New Roman"/>
                <w:sz w:val="24"/>
              </w:rPr>
            </w:pPr>
            <w:r>
              <w:rPr>
                <w:rFonts w:ascii="Times New Roman" w:hAnsi="Times New Roman"/>
                <w:sz w:val="24"/>
              </w:rPr>
              <w:t>законодательство Российской Федерации об аудиторской деятельности, федеральные стандарты аудиторской деятельности, основы информационных технологий и компьютерных систем в аудиторской деятельности</w:t>
            </w:r>
          </w:p>
          <w:p w14:paraId="49040000">
            <w:pPr>
              <w:rPr>
                <w:rFonts w:ascii="Times New Roman" w:hAnsi="Times New Roman"/>
                <w:sz w:val="24"/>
              </w:rPr>
            </w:pPr>
            <w:r>
              <w:rPr>
                <w:rFonts w:ascii="Times New Roman" w:hAnsi="Times New Roman"/>
                <w:sz w:val="24"/>
              </w:rPr>
              <w:t>кодекс профессиональной этики аудиторов и правила независимости аудиторов и аудиторских организаций</w:t>
            </w:r>
          </w:p>
          <w:p w14:paraId="4A040000">
            <w:pPr>
              <w:rPr>
                <w:rFonts w:ascii="Times New Roman" w:hAnsi="Times New Roman"/>
                <w:sz w:val="24"/>
              </w:rPr>
            </w:pPr>
            <w:r>
              <w:rPr>
                <w:rFonts w:ascii="Times New Roman" w:hAnsi="Times New Roman"/>
                <w:sz w:val="24"/>
              </w:rPr>
              <w:t>законодательство Российской Федерации о бухгалтерском учете, стандарты бухгалтерского учета и бухгалтерской отчетности, основы международных стандартов финансовой отчетности, информационных технологий и компьютерных систем в бухгалтерском учете и бухгалтерской отчетности</w:t>
            </w:r>
          </w:p>
          <w:p w14:paraId="4B040000">
            <w:pPr>
              <w:rPr>
                <w:rFonts w:ascii="Times New Roman" w:hAnsi="Times New Roman"/>
                <w:sz w:val="24"/>
              </w:rPr>
            </w:pPr>
            <w:r>
              <w:rPr>
                <w:rFonts w:ascii="Times New Roman" w:hAnsi="Times New Roman"/>
                <w:sz w:val="24"/>
              </w:rPr>
              <w:t>основы гражданского законодательства Российской Федерации, трудового законодательства Российской Федерации, законодательства Российской Федерации о социальном страховании и обеспечении, корпоративном управлении</w:t>
            </w:r>
          </w:p>
          <w:p w14:paraId="4C040000">
            <w:pPr>
              <w:rPr>
                <w:rFonts w:ascii="Times New Roman" w:hAnsi="Times New Roman"/>
                <w:sz w:val="24"/>
              </w:rPr>
            </w:pPr>
            <w:r>
              <w:rPr>
                <w:rFonts w:ascii="Times New Roman" w:hAnsi="Times New Roman"/>
                <w:sz w:val="24"/>
              </w:rPr>
              <w:t>основы налогового законодательства Российской Федерации</w:t>
            </w:r>
          </w:p>
          <w:p w14:paraId="4D040000">
            <w:pPr>
              <w:rPr>
                <w:rFonts w:ascii="Times New Roman" w:hAnsi="Times New Roman"/>
                <w:sz w:val="24"/>
              </w:rPr>
            </w:pPr>
            <w:r>
              <w:rPr>
                <w:rFonts w:ascii="Times New Roman" w:hAnsi="Times New Roman"/>
                <w:sz w:val="24"/>
              </w:rPr>
              <w:t>методы поиска, отбора, анализа и систематизации информации</w:t>
            </w:r>
          </w:p>
          <w:p w14:paraId="4E040000">
            <w:pPr>
              <w:rPr>
                <w:rFonts w:ascii="Times New Roman" w:hAnsi="Times New Roman"/>
                <w:sz w:val="24"/>
              </w:rPr>
            </w:pPr>
            <w:r>
              <w:rPr>
                <w:rFonts w:ascii="Times New Roman" w:hAnsi="Times New Roman"/>
                <w:sz w:val="24"/>
              </w:rPr>
              <w:t>внутренние организационно-распорядительные документы аудиторской организации, регламентирующие аудиторскую деятельность в организации</w:t>
            </w:r>
          </w:p>
        </w:tc>
        <w:tc>
          <w:tcPr>
            <w:tcW w:type="dxa" w:w="2833"/>
            <w:tcBorders>
              <w:top w:color="000000" w:sz="4" w:val="single"/>
              <w:left w:color="000000" w:sz="4" w:val="single"/>
              <w:bottom w:color="000000" w:sz="4" w:val="single"/>
              <w:right w:color="000000" w:sz="4" w:val="single"/>
            </w:tcBorders>
          </w:tcPr>
          <w:p w14:paraId="4F040000">
            <w:pPr>
              <w:rPr>
                <w:rFonts w:ascii="Times New Roman" w:hAnsi="Times New Roman"/>
                <w:sz w:val="24"/>
              </w:rPr>
            </w:pPr>
            <w:r>
              <w:rPr>
                <w:rFonts w:ascii="Times New Roman" w:hAnsi="Times New Roman"/>
                <w:sz w:val="24"/>
              </w:rPr>
              <w:t>осуществление внутреннего контроля ведения бухгалтерского учета и составления бухгалтерской (финансовой) отчетности экономического субъекта</w:t>
            </w:r>
          </w:p>
          <w:p w14:paraId="50040000">
            <w:pPr>
              <w:rPr>
                <w:rFonts w:ascii="Times New Roman" w:hAnsi="Times New Roman"/>
                <w:sz w:val="24"/>
              </w:rPr>
            </w:pPr>
            <w:r>
              <w:rPr>
                <w:rFonts w:ascii="Times New Roman" w:hAnsi="Times New Roman"/>
                <w:sz w:val="24"/>
              </w:rPr>
              <w:t>обеспечение необходимыми документами бухгалтерского учета процессов внутреннего контроля, государственного (муниципального) финансового контроля, внутреннего и внешнего аудита, ревизий, налоговых и иных проверок, подготовка документов о разногласиях по результатам государственного (муниципального) финансового контроля, аудита, ревизий, налоговых и иных проверок</w:t>
            </w:r>
          </w:p>
          <w:p w14:paraId="51040000">
            <w:pPr>
              <w:rPr>
                <w:rFonts w:ascii="Times New Roman" w:hAnsi="Times New Roman"/>
                <w:sz w:val="24"/>
              </w:rPr>
            </w:pPr>
            <w:r>
              <w:rPr>
                <w:rFonts w:ascii="Times New Roman" w:hAnsi="Times New Roman"/>
                <w:sz w:val="24"/>
              </w:rPr>
              <w:t xml:space="preserve">проверка обоснованности первичных учетных документов, которыми оформлены факты хозяйственной жизни, логическая увязка отдельных показателей; проверка качества </w:t>
            </w:r>
            <w:r>
              <w:rPr>
                <w:rFonts w:ascii="Times New Roman" w:hAnsi="Times New Roman"/>
                <w:sz w:val="24"/>
              </w:rPr>
              <w:t>ведения регистров бухгалтерского учета и составления бухгалтерской (финансовой) отчетности</w:t>
            </w:r>
          </w:p>
          <w:p w14:paraId="52040000">
            <w:pPr>
              <w:rPr>
                <w:rFonts w:ascii="Times New Roman" w:hAnsi="Times New Roman"/>
                <w:sz w:val="24"/>
              </w:rPr>
            </w:pPr>
            <w:r>
              <w:rPr>
                <w:rFonts w:ascii="Times New Roman" w:hAnsi="Times New Roman"/>
                <w:sz w:val="24"/>
              </w:rPr>
              <w:t>проверка качества бухгалтерской (финансовой) отчетности обособленных подразделений экономического субъекта</w:t>
            </w:r>
          </w:p>
          <w:p w14:paraId="53040000">
            <w:pPr>
              <w:rPr>
                <w:rFonts w:ascii="Times New Roman" w:hAnsi="Times New Roman"/>
                <w:sz w:val="24"/>
              </w:rPr>
            </w:pPr>
            <w:r>
              <w:rPr>
                <w:rFonts w:ascii="Times New Roman" w:hAnsi="Times New Roman"/>
                <w:sz w:val="24"/>
              </w:rPr>
              <w:t>ознакомление с информацией о деятельности аудируемого лица и среде, в которой она осуществляется, включая систему внутреннего контроля</w:t>
            </w:r>
          </w:p>
          <w:p w14:paraId="54040000">
            <w:pPr>
              <w:rPr>
                <w:rFonts w:ascii="Times New Roman" w:hAnsi="Times New Roman"/>
                <w:sz w:val="24"/>
              </w:rPr>
            </w:pPr>
            <w:r>
              <w:rPr>
                <w:rFonts w:ascii="Times New Roman" w:hAnsi="Times New Roman"/>
                <w:sz w:val="24"/>
              </w:rPr>
              <w:t>выполнение отдельных аудиторских процедур (действий)</w:t>
            </w:r>
          </w:p>
          <w:p w14:paraId="55040000">
            <w:pPr>
              <w:rPr>
                <w:rFonts w:ascii="Times New Roman" w:hAnsi="Times New Roman"/>
                <w:sz w:val="24"/>
              </w:rPr>
            </w:pPr>
            <w:r>
              <w:rPr>
                <w:rFonts w:ascii="Times New Roman" w:hAnsi="Times New Roman"/>
                <w:sz w:val="24"/>
              </w:rPr>
              <w:t>выполнение операций при оказании сопутствующих аудиту услуг</w:t>
            </w:r>
          </w:p>
          <w:p w14:paraId="56040000">
            <w:pPr>
              <w:rPr>
                <w:rFonts w:ascii="Times New Roman" w:hAnsi="Times New Roman"/>
                <w:sz w:val="24"/>
              </w:rPr>
            </w:pPr>
            <w:r>
              <w:rPr>
                <w:rFonts w:ascii="Times New Roman" w:hAnsi="Times New Roman"/>
                <w:sz w:val="24"/>
              </w:rPr>
              <w:t>выполнение операций при оказании прочих услуг, связанных с аудиторской деятельностью</w:t>
            </w:r>
          </w:p>
          <w:p w14:paraId="57040000">
            <w:pPr>
              <w:rPr>
                <w:rFonts w:ascii="Times New Roman" w:hAnsi="Times New Roman"/>
                <w:sz w:val="24"/>
              </w:rPr>
            </w:pPr>
            <w:r>
              <w:rPr>
                <w:rFonts w:ascii="Times New Roman" w:hAnsi="Times New Roman"/>
                <w:sz w:val="24"/>
              </w:rPr>
              <w:t>документирование результатов выполненных аудиторских процедур и полученных аудиторских доказательств</w:t>
            </w:r>
          </w:p>
        </w:tc>
      </w:tr>
      <w:tr>
        <w:trPr>
          <w:trHeight w:hRule="atLeast" w:val="327"/>
        </w:trPr>
        <w:tc>
          <w:tcPr>
            <w:tcW w:type="dxa" w:w="1129"/>
            <w:tcBorders>
              <w:top w:color="000000" w:sz="4" w:val="single"/>
              <w:left w:color="000000" w:sz="4" w:val="single"/>
              <w:bottom w:color="000000" w:sz="4" w:val="single"/>
              <w:right w:color="000000" w:sz="4" w:val="single"/>
            </w:tcBorders>
          </w:tcPr>
          <w:p w14:paraId="58040000">
            <w:pPr>
              <w:rPr>
                <w:rFonts w:ascii="Times New Roman" w:hAnsi="Times New Roman"/>
                <w:sz w:val="24"/>
              </w:rPr>
            </w:pPr>
            <w:r>
              <w:rPr>
                <w:rFonts w:ascii="Times New Roman" w:hAnsi="Times New Roman"/>
                <w:sz w:val="24"/>
              </w:rPr>
              <w:t>ПК 2.4</w:t>
            </w:r>
          </w:p>
        </w:tc>
        <w:tc>
          <w:tcPr>
            <w:tcW w:type="dxa" w:w="2833"/>
            <w:tcBorders>
              <w:top w:color="000000" w:sz="4" w:val="single"/>
              <w:left w:color="000000" w:sz="4" w:val="single"/>
              <w:bottom w:color="000000" w:sz="4" w:val="single"/>
              <w:right w:color="000000" w:sz="4" w:val="single"/>
            </w:tcBorders>
          </w:tcPr>
          <w:p w14:paraId="59040000">
            <w:pPr>
              <w:rPr>
                <w:rFonts w:ascii="Times New Roman" w:hAnsi="Times New Roman"/>
                <w:sz w:val="24"/>
              </w:rPr>
            </w:pPr>
            <w:r>
              <w:rPr>
                <w:rFonts w:ascii="Times New Roman" w:hAnsi="Times New Roman"/>
                <w:sz w:val="24"/>
              </w:rPr>
              <w:t>определять объем работ по финансовому анализу, потребность в трудовых, финансовых и материально-технических ресурсах</w:t>
            </w:r>
          </w:p>
          <w:p w14:paraId="5A040000">
            <w:pPr>
              <w:rPr>
                <w:rFonts w:ascii="Times New Roman" w:hAnsi="Times New Roman"/>
                <w:sz w:val="24"/>
              </w:rPr>
            </w:pPr>
            <w:r>
              <w:rPr>
                <w:rFonts w:ascii="Times New Roman" w:hAnsi="Times New Roman"/>
                <w:sz w:val="24"/>
              </w:rPr>
              <w:t>использовать внутренние организационно-распорядительные документы, регламентирующие порядок проведения работ по финансовому анализу</w:t>
            </w:r>
          </w:p>
          <w:p w14:paraId="5B040000">
            <w:pPr>
              <w:rPr>
                <w:rFonts w:ascii="Times New Roman" w:hAnsi="Times New Roman"/>
                <w:sz w:val="24"/>
              </w:rPr>
            </w:pPr>
            <w:r>
              <w:rPr>
                <w:rFonts w:ascii="Times New Roman" w:hAnsi="Times New Roman"/>
                <w:sz w:val="24"/>
              </w:rPr>
              <w:t>определять источники информации для проведения анализа финансового состояния экономического субъекта</w:t>
            </w:r>
          </w:p>
          <w:p w14:paraId="5C040000">
            <w:pPr>
              <w:rPr>
                <w:rFonts w:ascii="Times New Roman" w:hAnsi="Times New Roman"/>
                <w:sz w:val="24"/>
              </w:rPr>
            </w:pPr>
            <w:r>
              <w:rPr>
                <w:rFonts w:ascii="Times New Roman" w:hAnsi="Times New Roman"/>
                <w:sz w:val="24"/>
              </w:rPr>
              <w:t xml:space="preserve">планировать программы и сроки проведения финансового анализа экономического </w:t>
            </w:r>
            <w:r>
              <w:rPr>
                <w:rFonts w:ascii="Times New Roman" w:hAnsi="Times New Roman"/>
                <w:sz w:val="24"/>
              </w:rPr>
              <w:t>субъекта и осуществлять контроль их соблюдения, определять состав и формат аналитических отчетов</w:t>
            </w:r>
          </w:p>
          <w:p w14:paraId="5D040000">
            <w:pPr>
              <w:rPr>
                <w:rFonts w:ascii="Times New Roman" w:hAnsi="Times New Roman"/>
                <w:sz w:val="24"/>
              </w:rPr>
            </w:pPr>
            <w:r>
              <w:rPr>
                <w:rFonts w:ascii="Times New Roman" w:hAnsi="Times New Roman"/>
                <w:sz w:val="24"/>
              </w:rPr>
              <w:t>формировать аналитические отчеты и представлять их заинтересованным пользователям</w:t>
            </w:r>
          </w:p>
          <w:p w14:paraId="5E040000">
            <w:pPr>
              <w:rPr>
                <w:rFonts w:ascii="Times New Roman" w:hAnsi="Times New Roman"/>
                <w:sz w:val="24"/>
              </w:rPr>
            </w:pPr>
            <w:r>
              <w:rPr>
                <w:rFonts w:ascii="Times New Roman" w:hAnsi="Times New Roman"/>
                <w:sz w:val="24"/>
              </w:rPr>
              <w:t>оценивать и анализировать финансовый потенциал, ликвидность и платежеспособность, финансовую устойчивость, прибыльность и рентабельность, инвестиционную привлекательность экономического субъекта</w:t>
            </w:r>
          </w:p>
          <w:p w14:paraId="5F040000">
            <w:pPr>
              <w:rPr>
                <w:rFonts w:ascii="Times New Roman" w:hAnsi="Times New Roman"/>
                <w:sz w:val="24"/>
              </w:rPr>
            </w:pPr>
            <w:r>
              <w:rPr>
                <w:rFonts w:ascii="Times New Roman" w:hAnsi="Times New Roman"/>
                <w:sz w:val="24"/>
              </w:rPr>
              <w:t>формулировать обоснованные выводы по результатам информации, полученной в процессе проведения финансового анализа экономического субъекта</w:t>
            </w:r>
          </w:p>
          <w:p w14:paraId="60040000">
            <w:pPr>
              <w:rPr>
                <w:rFonts w:ascii="Times New Roman" w:hAnsi="Times New Roman"/>
                <w:sz w:val="24"/>
              </w:rPr>
            </w:pPr>
            <w:r>
              <w:rPr>
                <w:rFonts w:ascii="Times New Roman" w:hAnsi="Times New Roman"/>
                <w:sz w:val="24"/>
              </w:rPr>
              <w:t>применять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w:t>
            </w:r>
          </w:p>
        </w:tc>
        <w:tc>
          <w:tcPr>
            <w:tcW w:type="dxa" w:w="2833"/>
            <w:tcBorders>
              <w:top w:color="000000" w:sz="4" w:val="single"/>
              <w:left w:color="000000" w:sz="4" w:val="single"/>
              <w:bottom w:color="000000" w:sz="4" w:val="single"/>
              <w:right w:color="000000" w:sz="4" w:val="single"/>
            </w:tcBorders>
            <w:shd w:fill="auto" w:val="clear"/>
          </w:tcPr>
          <w:p w14:paraId="61040000">
            <w:pPr>
              <w:rPr>
                <w:rFonts w:ascii="Times New Roman" w:hAnsi="Times New Roman"/>
                <w:sz w:val="24"/>
              </w:rPr>
            </w:pPr>
            <w:r>
              <w:rPr>
                <w:rFonts w:ascii="Times New Roman" w:hAnsi="Times New Roman"/>
                <w:sz w:val="24"/>
              </w:rPr>
              <w:t>методические документы по финансовому анализу, бюджетированию и управлению денежными потоками</w:t>
            </w:r>
          </w:p>
          <w:p w14:paraId="62040000">
            <w:pPr>
              <w:rPr>
                <w:rFonts w:ascii="Times New Roman" w:hAnsi="Times New Roman"/>
                <w:sz w:val="24"/>
              </w:rPr>
            </w:pPr>
            <w:r>
              <w:rPr>
                <w:rFonts w:ascii="Times New Roman" w:hAnsi="Times New Roman"/>
                <w:sz w:val="24"/>
              </w:rPr>
              <w:t xml:space="preserve">законодательство Российской Федерации о налогах и сборах, бухгалтерском и официальном статистическом учете, архивном деле, социальном и медицинском страховании, пенсионном обеспечении, аудиторской деятельности, гражданское, таможенное, трудовое законодательство Российской Федерации; законодательство </w:t>
            </w:r>
            <w:r>
              <w:rPr>
                <w:rFonts w:ascii="Times New Roman" w:hAnsi="Times New Roman"/>
                <w:sz w:val="24"/>
              </w:rPr>
              <w:t>Российской Федерации в сфере деятельности экономического субъекта; практика применения законодательства Российской Федерации</w:t>
            </w:r>
          </w:p>
        </w:tc>
        <w:tc>
          <w:tcPr>
            <w:tcW w:type="dxa" w:w="2833"/>
            <w:tcBorders>
              <w:top w:color="000000" w:sz="4" w:val="single"/>
              <w:left w:color="000000" w:sz="4" w:val="single"/>
              <w:bottom w:color="000000" w:sz="4" w:val="single"/>
              <w:right w:color="000000" w:sz="4" w:val="single"/>
            </w:tcBorders>
          </w:tcPr>
          <w:p w14:paraId="63040000">
            <w:pPr>
              <w:rPr>
                <w:rFonts w:ascii="Times New Roman" w:hAnsi="Times New Roman"/>
                <w:sz w:val="24"/>
              </w:rPr>
            </w:pPr>
            <w:r>
              <w:rPr>
                <w:rFonts w:ascii="Times New Roman" w:hAnsi="Times New Roman"/>
                <w:sz w:val="24"/>
              </w:rPr>
              <w:t>осуществление работ по финансовому анализу экономического субъекта</w:t>
            </w:r>
          </w:p>
        </w:tc>
      </w:tr>
      <w:tr>
        <w:trPr>
          <w:trHeight w:hRule="atLeast" w:val="327"/>
        </w:trPr>
        <w:tc>
          <w:tcPr>
            <w:tcW w:type="dxa" w:w="1129"/>
            <w:tcBorders>
              <w:top w:color="000000" w:sz="4" w:val="single"/>
              <w:left w:color="000000" w:sz="4" w:val="single"/>
              <w:bottom w:color="000000" w:sz="4" w:val="single"/>
              <w:right w:color="000000" w:sz="4" w:val="single"/>
            </w:tcBorders>
          </w:tcPr>
          <w:p w14:paraId="64040000">
            <w:pPr>
              <w:rPr>
                <w:rFonts w:ascii="Times New Roman" w:hAnsi="Times New Roman"/>
                <w:sz w:val="24"/>
              </w:rPr>
            </w:pPr>
            <w:r>
              <w:rPr>
                <w:rFonts w:ascii="Times New Roman" w:hAnsi="Times New Roman"/>
                <w:sz w:val="24"/>
              </w:rPr>
              <w:t>ПК 2.5.</w:t>
            </w:r>
          </w:p>
        </w:tc>
        <w:tc>
          <w:tcPr>
            <w:tcW w:type="dxa" w:w="2833"/>
            <w:tcBorders>
              <w:top w:color="000000" w:sz="4" w:val="single"/>
              <w:left w:color="000000" w:sz="4" w:val="single"/>
              <w:bottom w:color="000000" w:sz="4" w:val="single"/>
              <w:right w:color="000000" w:sz="4" w:val="single"/>
            </w:tcBorders>
          </w:tcPr>
          <w:p w14:paraId="65040000">
            <w:pPr>
              <w:rPr>
                <w:rFonts w:ascii="Times New Roman" w:hAnsi="Times New Roman"/>
                <w:sz w:val="24"/>
              </w:rPr>
            </w:pPr>
            <w:r>
              <w:rPr>
                <w:rFonts w:ascii="Times New Roman" w:hAnsi="Times New Roman"/>
                <w:sz w:val="24"/>
              </w:rPr>
              <w:t>определять объем работ по бизнес-планированию</w:t>
            </w:r>
          </w:p>
          <w:p w14:paraId="66040000">
            <w:pPr>
              <w:rPr>
                <w:rFonts w:ascii="Times New Roman" w:hAnsi="Times New Roman"/>
                <w:sz w:val="24"/>
              </w:rPr>
            </w:pPr>
            <w:r>
              <w:rPr>
                <w:rFonts w:ascii="Times New Roman" w:hAnsi="Times New Roman"/>
                <w:sz w:val="24"/>
              </w:rPr>
              <w:t>формировать структуру бизнес-плана</w:t>
            </w:r>
          </w:p>
          <w:p w14:paraId="67040000">
            <w:pPr>
              <w:rPr>
                <w:rFonts w:ascii="Times New Roman" w:hAnsi="Times New Roman"/>
                <w:sz w:val="24"/>
              </w:rPr>
            </w:pPr>
            <w:r>
              <w:rPr>
                <w:rFonts w:ascii="Times New Roman" w:hAnsi="Times New Roman"/>
                <w:sz w:val="24"/>
              </w:rPr>
              <w:t xml:space="preserve">планировать объемы, последовательность и сроки выполнения работ </w:t>
            </w:r>
            <w:r>
              <w:rPr>
                <w:rFonts w:ascii="Times New Roman" w:hAnsi="Times New Roman"/>
                <w:sz w:val="24"/>
              </w:rPr>
              <w:t>по составлению бизнес-планов, контролировать их соблюдение</w:t>
            </w:r>
          </w:p>
        </w:tc>
        <w:tc>
          <w:tcPr>
            <w:tcW w:type="dxa" w:w="2833"/>
            <w:tcBorders>
              <w:top w:color="000000" w:sz="4" w:val="single"/>
              <w:left w:color="000000" w:sz="4" w:val="single"/>
              <w:bottom w:color="000000" w:sz="4" w:val="single"/>
              <w:right w:color="000000" w:sz="4" w:val="single"/>
            </w:tcBorders>
            <w:shd w:fill="auto" w:val="clear"/>
          </w:tcPr>
          <w:p w14:paraId="68040000">
            <w:pPr>
              <w:rPr>
                <w:rFonts w:ascii="Times New Roman" w:hAnsi="Times New Roman"/>
                <w:sz w:val="24"/>
              </w:rPr>
            </w:pPr>
            <w:r>
              <w:rPr>
                <w:rFonts w:ascii="Times New Roman" w:hAnsi="Times New Roman"/>
                <w:sz w:val="24"/>
              </w:rPr>
              <w:t>методические документы по финансовому анализу, бюджетированию и управлению денежными потоками</w:t>
            </w:r>
          </w:p>
          <w:p w14:paraId="69040000">
            <w:pPr>
              <w:rPr>
                <w:rFonts w:ascii="Times New Roman" w:hAnsi="Times New Roman"/>
                <w:sz w:val="24"/>
              </w:rPr>
            </w:pPr>
            <w:r>
              <w:rPr>
                <w:rFonts w:ascii="Times New Roman" w:hAnsi="Times New Roman"/>
                <w:sz w:val="24"/>
              </w:rPr>
              <w:t xml:space="preserve">законодательство Российской Федерации о </w:t>
            </w:r>
            <w:r>
              <w:rPr>
                <w:rFonts w:ascii="Times New Roman" w:hAnsi="Times New Roman"/>
                <w:sz w:val="24"/>
              </w:rPr>
              <w:t>налогах и сборах, бухгалтерском и официальном статистическом учете, архивном деле, социальном и медицинском страховании, пенсионном обеспечении, аудиторской деятельности, гражданское, таможенное, трудовое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tc>
        <w:tc>
          <w:tcPr>
            <w:tcW w:type="dxa" w:w="2833"/>
            <w:tcBorders>
              <w:top w:color="000000" w:sz="4" w:val="single"/>
              <w:left w:color="000000" w:sz="4" w:val="single"/>
              <w:bottom w:color="000000" w:sz="4" w:val="single"/>
              <w:right w:color="000000" w:sz="4" w:val="single"/>
            </w:tcBorders>
          </w:tcPr>
          <w:p w14:paraId="6A040000">
            <w:pPr>
              <w:rPr>
                <w:rFonts w:ascii="Times New Roman" w:hAnsi="Times New Roman"/>
                <w:sz w:val="24"/>
              </w:rPr>
            </w:pPr>
            <w:r>
              <w:rPr>
                <w:rFonts w:ascii="Times New Roman" w:hAnsi="Times New Roman"/>
                <w:sz w:val="24"/>
              </w:rPr>
              <w:t>выполнения работ по определению финансовой модели бизнес-плана</w:t>
            </w:r>
          </w:p>
          <w:p w14:paraId="6B040000">
            <w:pPr>
              <w:rPr>
                <w:rFonts w:ascii="Times New Roman" w:hAnsi="Times New Roman"/>
                <w:sz w:val="24"/>
              </w:rPr>
            </w:pPr>
            <w:r>
              <w:rPr>
                <w:rFonts w:ascii="Times New Roman" w:hAnsi="Times New Roman"/>
                <w:sz w:val="24"/>
              </w:rPr>
              <w:t>составления бизнес-плана</w:t>
            </w:r>
          </w:p>
        </w:tc>
      </w:tr>
    </w:tbl>
    <w:p w14:paraId="6C040000">
      <w:pPr>
        <w:ind w:firstLine="709" w:left="0"/>
        <w:rPr>
          <w:rFonts w:ascii="Times New Roman" w:hAnsi="Times New Roman"/>
          <w:sz w:val="24"/>
        </w:rPr>
      </w:pPr>
    </w:p>
    <w:p w14:paraId="6D040000">
      <w:pPr>
        <w:ind w:firstLine="709" w:left="0"/>
        <w:rPr>
          <w:rFonts w:ascii="Times New Roman" w:hAnsi="Times New Roman"/>
          <w:sz w:val="24"/>
        </w:rPr>
      </w:pPr>
    </w:p>
    <w:p w14:paraId="6E040000">
      <w:bookmarkStart w:id="34" w:name="__RefHeading___16"/>
      <w:bookmarkEnd w:id="34"/>
      <w:bookmarkStart w:id="35" w:name="__RefHeading___39"/>
      <w:bookmarkEnd w:id="35"/>
      <w:pPr>
        <w:pStyle w:val="Style_5"/>
        <w:rPr>
          <w:rFonts w:ascii="Times New Roman" w:hAnsi="Times New Roman"/>
        </w:rPr>
      </w:pPr>
      <w:r>
        <w:rPr>
          <w:rFonts w:ascii="Times New Roman" w:hAnsi="Times New Roman"/>
        </w:rPr>
        <w:t>2. Структура и содержание профессионального модуля</w:t>
      </w:r>
    </w:p>
    <w:p w14:paraId="6F040000">
      <w:bookmarkStart w:id="36" w:name="__RefHeading___17"/>
      <w:bookmarkEnd w:id="36"/>
      <w:bookmarkStart w:id="37" w:name="__RefHeading___40"/>
      <w:bookmarkEnd w:id="37"/>
      <w:pPr>
        <w:pStyle w:val="Style_7"/>
        <w:rPr>
          <w:rFonts w:ascii="Times New Roman" w:hAnsi="Times New Roman"/>
        </w:rPr>
      </w:pPr>
      <w:r>
        <w:rPr>
          <w:rFonts w:ascii="Times New Roman" w:hAnsi="Times New Roman"/>
        </w:rPr>
        <w:t xml:space="preserve">2.1. Трудоемкость освоения модуля </w:t>
      </w:r>
    </w:p>
    <w:tbl>
      <w:tblPr>
        <w:tblStyle w:val="Style_8"/>
        <w:tblW w:type="auto" w:w="0"/>
        <w:tblBorders>
          <w:top w:color="000000" w:sz="6" w:val="single"/>
          <w:left w:color="000000" w:sz="6" w:val="single"/>
          <w:bottom w:color="000000" w:sz="6" w:val="single"/>
          <w:right w:color="000000" w:sz="6" w:val="single"/>
          <w:insideH w:color="000000" w:sz="6" w:val="single"/>
          <w:insideV w:color="000000" w:sz="6" w:val="single"/>
        </w:tblBorders>
        <w:tblLayout w:type="fixed"/>
      </w:tblPr>
      <w:tblGrid>
        <w:gridCol w:w="4810"/>
        <w:gridCol w:w="2336"/>
        <w:gridCol w:w="2630"/>
      </w:tblGrid>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70040000">
            <w:pPr>
              <w:ind/>
              <w:jc w:val="center"/>
              <w:rPr>
                <w:rFonts w:ascii="Times New Roman" w:hAnsi="Times New Roman"/>
                <w:b w:val="1"/>
                <w:sz w:val="24"/>
              </w:rPr>
            </w:pPr>
            <w:r>
              <w:rPr>
                <w:rFonts w:ascii="Times New Roman" w:hAnsi="Times New Roman"/>
                <w:b w:val="1"/>
                <w:sz w:val="24"/>
              </w:rPr>
              <w:t>Наименование составных частей модуля</w:t>
            </w:r>
          </w:p>
        </w:tc>
        <w:tc>
          <w:tcPr>
            <w:tcW w:type="dxa" w:w="2336"/>
            <w:tcBorders>
              <w:top w:color="000000" w:sz="6" w:val="single"/>
              <w:left w:color="000000" w:sz="6" w:val="single"/>
              <w:bottom w:color="000000" w:sz="6" w:val="single"/>
              <w:right w:color="000000" w:sz="6" w:val="single"/>
            </w:tcBorders>
            <w:vAlign w:val="center"/>
          </w:tcPr>
          <w:p w14:paraId="71040000">
            <w:pPr>
              <w:ind/>
              <w:jc w:val="center"/>
              <w:rPr>
                <w:rFonts w:ascii="Times New Roman" w:hAnsi="Times New Roman"/>
                <w:b w:val="1"/>
                <w:sz w:val="24"/>
              </w:rPr>
            </w:pPr>
            <w:r>
              <w:rPr>
                <w:rFonts w:ascii="Times New Roman" w:hAnsi="Times New Roman"/>
                <w:b w:val="1"/>
                <w:sz w:val="24"/>
              </w:rPr>
              <w:t>Объем в часах</w:t>
            </w:r>
          </w:p>
        </w:tc>
        <w:tc>
          <w:tcPr>
            <w:tcW w:type="dxa" w:w="2630"/>
            <w:tcBorders>
              <w:top w:color="000000" w:sz="6" w:val="single"/>
              <w:left w:color="000000" w:sz="6" w:val="single"/>
              <w:bottom w:color="000000" w:sz="6" w:val="single"/>
              <w:right w:color="000000" w:sz="6" w:val="single"/>
            </w:tcBorders>
          </w:tcPr>
          <w:p w14:paraId="72040000">
            <w:pPr>
              <w:ind/>
              <w:jc w:val="center"/>
              <w:rPr>
                <w:rFonts w:ascii="Times New Roman" w:hAnsi="Times New Roman"/>
                <w:b w:val="1"/>
                <w:sz w:val="24"/>
              </w:rPr>
            </w:pPr>
            <w:r>
              <w:rPr>
                <w:rFonts w:ascii="Times New Roman" w:hAnsi="Times New Roman"/>
                <w:b w:val="1"/>
                <w:sz w:val="24"/>
              </w:rPr>
              <w:t xml:space="preserve">В т.ч. в форме </w:t>
            </w:r>
            <w:r>
              <w:rPr>
                <w:rFonts w:ascii="Times New Roman" w:hAnsi="Times New Roman"/>
                <w:b w:val="1"/>
                <w:sz w:val="24"/>
              </w:rPr>
              <w:t>практ</w:t>
            </w:r>
            <w:r>
              <w:rPr>
                <w:rFonts w:ascii="Times New Roman" w:hAnsi="Times New Roman"/>
                <w:b w:val="1"/>
                <w:sz w:val="24"/>
              </w:rPr>
              <w:t>. подготовки</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73040000">
            <w:pPr>
              <w:ind/>
              <w:jc w:val="both"/>
              <w:rPr>
                <w:rFonts w:ascii="Times New Roman" w:hAnsi="Times New Roman"/>
                <w:sz w:val="24"/>
              </w:rPr>
            </w:pPr>
            <w:r>
              <w:rPr>
                <w:rFonts w:ascii="Times New Roman" w:hAnsi="Times New Roman"/>
                <w:sz w:val="24"/>
              </w:rPr>
              <w:t>Учебные занятия</w:t>
            </w:r>
          </w:p>
        </w:tc>
        <w:tc>
          <w:tcPr>
            <w:tcW w:type="dxa" w:w="2336"/>
            <w:tcBorders>
              <w:top w:color="000000" w:sz="6" w:val="single"/>
              <w:left w:color="000000" w:sz="6" w:val="single"/>
              <w:bottom w:color="000000" w:sz="6" w:val="single"/>
              <w:right w:color="000000" w:sz="6" w:val="single"/>
            </w:tcBorders>
            <w:vAlign w:val="center"/>
          </w:tcPr>
          <w:p w14:paraId="74040000">
            <w:pPr>
              <w:ind/>
              <w:jc w:val="center"/>
              <w:rPr>
                <w:rFonts w:ascii="Times New Roman" w:hAnsi="Times New Roman"/>
                <w:sz w:val="24"/>
              </w:rPr>
            </w:pPr>
            <w:r>
              <w:rPr>
                <w:rFonts w:ascii="Times New Roman" w:hAnsi="Times New Roman"/>
                <w:sz w:val="24"/>
              </w:rPr>
              <w:t>172</w:t>
            </w:r>
          </w:p>
        </w:tc>
        <w:tc>
          <w:tcPr>
            <w:tcW w:type="dxa" w:w="2630"/>
            <w:tcBorders>
              <w:top w:color="000000" w:sz="6" w:val="single"/>
              <w:left w:color="000000" w:sz="6" w:val="single"/>
              <w:bottom w:color="000000" w:sz="6" w:val="single"/>
              <w:right w:color="000000" w:sz="6" w:val="single"/>
            </w:tcBorders>
            <w:vAlign w:val="center"/>
          </w:tcPr>
          <w:p w14:paraId="75040000">
            <w:pPr>
              <w:ind/>
              <w:jc w:val="center"/>
              <w:rPr>
                <w:rFonts w:ascii="Times New Roman" w:hAnsi="Times New Roman"/>
                <w:sz w:val="24"/>
              </w:rPr>
            </w:pPr>
            <w:r>
              <w:rPr>
                <w:rFonts w:ascii="Times New Roman" w:hAnsi="Times New Roman"/>
                <w:sz w:val="24"/>
              </w:rPr>
              <w:t>86</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76040000">
            <w:pPr>
              <w:ind/>
              <w:jc w:val="both"/>
              <w:rPr>
                <w:rFonts w:ascii="Times New Roman" w:hAnsi="Times New Roman"/>
                <w:sz w:val="24"/>
              </w:rPr>
            </w:pPr>
            <w:r>
              <w:rPr>
                <w:rFonts w:ascii="Times New Roman" w:hAnsi="Times New Roman"/>
                <w:sz w:val="24"/>
              </w:rPr>
              <w:t>Самостоятельная работа</w:t>
            </w:r>
          </w:p>
        </w:tc>
        <w:tc>
          <w:tcPr>
            <w:tcW w:type="dxa" w:w="2336"/>
            <w:tcBorders>
              <w:top w:color="000000" w:sz="6" w:val="single"/>
              <w:left w:color="000000" w:sz="6" w:val="single"/>
              <w:bottom w:color="000000" w:sz="6" w:val="single"/>
              <w:right w:color="000000" w:sz="6" w:val="single"/>
            </w:tcBorders>
            <w:vAlign w:val="center"/>
          </w:tcPr>
          <w:p w14:paraId="77040000">
            <w:pPr>
              <w:ind/>
              <w:jc w:val="center"/>
              <w:rPr>
                <w:rFonts w:ascii="Times New Roman" w:hAnsi="Times New Roman"/>
                <w:sz w:val="24"/>
              </w:rPr>
            </w:pPr>
            <w:r>
              <w:rPr>
                <w:rFonts w:ascii="Times New Roman" w:hAnsi="Times New Roman"/>
                <w:sz w:val="24"/>
              </w:rPr>
              <w:t>-</w:t>
            </w:r>
          </w:p>
        </w:tc>
        <w:tc>
          <w:tcPr>
            <w:tcW w:type="dxa" w:w="2630"/>
            <w:tcBorders>
              <w:top w:color="000000" w:sz="6" w:val="single"/>
              <w:left w:color="000000" w:sz="6" w:val="single"/>
              <w:bottom w:color="000000" w:sz="6" w:val="single"/>
              <w:right w:color="000000" w:sz="6" w:val="single"/>
            </w:tcBorders>
            <w:vAlign w:val="center"/>
          </w:tcPr>
          <w:p w14:paraId="78040000">
            <w:pPr>
              <w:ind/>
              <w:jc w:val="center"/>
              <w:rPr>
                <w:rFonts w:ascii="Times New Roman" w:hAnsi="Times New Roman"/>
                <w:sz w:val="24"/>
              </w:rPr>
            </w:pPr>
            <w:r>
              <w:rPr>
                <w:rFonts w:ascii="Times New Roman" w:hAnsi="Times New Roman"/>
                <w:sz w:val="24"/>
              </w:rPr>
              <w:t>-</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79040000">
            <w:pPr>
              <w:ind/>
              <w:jc w:val="both"/>
              <w:rPr>
                <w:rFonts w:ascii="Times New Roman" w:hAnsi="Times New Roman"/>
                <w:sz w:val="24"/>
              </w:rPr>
            </w:pPr>
            <w:r>
              <w:rPr>
                <w:rFonts w:ascii="Times New Roman" w:hAnsi="Times New Roman"/>
                <w:sz w:val="24"/>
              </w:rPr>
              <w:t>Практика, в т.ч.:</w:t>
            </w:r>
          </w:p>
        </w:tc>
        <w:tc>
          <w:tcPr>
            <w:tcW w:type="dxa" w:w="2336"/>
            <w:tcBorders>
              <w:top w:color="000000" w:sz="6" w:val="single"/>
              <w:left w:color="000000" w:sz="6" w:val="single"/>
              <w:bottom w:color="000000" w:sz="6" w:val="single"/>
              <w:right w:color="000000" w:sz="6" w:val="single"/>
            </w:tcBorders>
            <w:vAlign w:val="center"/>
          </w:tcPr>
          <w:p w14:paraId="7A040000">
            <w:pPr>
              <w:ind/>
              <w:jc w:val="center"/>
              <w:rPr>
                <w:rFonts w:ascii="Times New Roman" w:hAnsi="Times New Roman"/>
                <w:sz w:val="24"/>
              </w:rPr>
            </w:pPr>
            <w:r>
              <w:rPr>
                <w:rFonts w:ascii="Times New Roman" w:hAnsi="Times New Roman"/>
                <w:sz w:val="24"/>
              </w:rPr>
              <w:t>108</w:t>
            </w:r>
          </w:p>
        </w:tc>
        <w:tc>
          <w:tcPr>
            <w:tcW w:type="dxa" w:w="2630"/>
            <w:tcBorders>
              <w:top w:color="000000" w:sz="6" w:val="single"/>
              <w:left w:color="000000" w:sz="6" w:val="single"/>
              <w:bottom w:color="000000" w:sz="6" w:val="single"/>
              <w:right w:color="000000" w:sz="6" w:val="single"/>
            </w:tcBorders>
            <w:vAlign w:val="center"/>
          </w:tcPr>
          <w:p w14:paraId="7B040000">
            <w:pPr>
              <w:ind/>
              <w:jc w:val="center"/>
              <w:rPr>
                <w:rFonts w:ascii="Times New Roman" w:hAnsi="Times New Roman"/>
                <w:sz w:val="24"/>
              </w:rPr>
            </w:pPr>
            <w:r>
              <w:rPr>
                <w:rFonts w:ascii="Times New Roman" w:hAnsi="Times New Roman"/>
                <w:sz w:val="24"/>
              </w:rPr>
              <w:t>108</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7C040000">
            <w:pPr>
              <w:ind/>
              <w:jc w:val="both"/>
              <w:rPr>
                <w:rFonts w:ascii="Times New Roman" w:hAnsi="Times New Roman"/>
                <w:sz w:val="24"/>
              </w:rPr>
            </w:pPr>
            <w:r>
              <w:rPr>
                <w:rFonts w:ascii="Times New Roman" w:hAnsi="Times New Roman"/>
                <w:sz w:val="24"/>
              </w:rPr>
              <w:t>учебная</w:t>
            </w:r>
          </w:p>
        </w:tc>
        <w:tc>
          <w:tcPr>
            <w:tcW w:type="dxa" w:w="2336"/>
            <w:tcBorders>
              <w:top w:color="000000" w:sz="6" w:val="single"/>
              <w:left w:color="000000" w:sz="6" w:val="single"/>
              <w:bottom w:color="000000" w:sz="6" w:val="single"/>
              <w:right w:color="000000" w:sz="6" w:val="single"/>
            </w:tcBorders>
            <w:vAlign w:val="center"/>
          </w:tcPr>
          <w:p w14:paraId="7D040000">
            <w:pPr>
              <w:ind/>
              <w:jc w:val="center"/>
              <w:rPr>
                <w:rFonts w:ascii="Times New Roman" w:hAnsi="Times New Roman"/>
                <w:i w:val="1"/>
                <w:sz w:val="24"/>
              </w:rPr>
            </w:pPr>
            <w:r>
              <w:rPr>
                <w:rFonts w:ascii="Times New Roman" w:hAnsi="Times New Roman"/>
                <w:i w:val="1"/>
                <w:sz w:val="24"/>
              </w:rPr>
              <w:t>36</w:t>
            </w:r>
          </w:p>
        </w:tc>
        <w:tc>
          <w:tcPr>
            <w:tcW w:type="dxa" w:w="2630"/>
            <w:tcBorders>
              <w:top w:color="000000" w:sz="6" w:val="single"/>
              <w:left w:color="000000" w:sz="6" w:val="single"/>
              <w:bottom w:color="000000" w:sz="6" w:val="single"/>
              <w:right w:color="000000" w:sz="6" w:val="single"/>
            </w:tcBorders>
            <w:vAlign w:val="center"/>
          </w:tcPr>
          <w:p w14:paraId="7E040000">
            <w:pPr>
              <w:ind/>
              <w:jc w:val="center"/>
              <w:rPr>
                <w:rFonts w:ascii="Times New Roman" w:hAnsi="Times New Roman"/>
                <w:i w:val="1"/>
                <w:sz w:val="24"/>
              </w:rPr>
            </w:pPr>
            <w:r>
              <w:rPr>
                <w:rFonts w:ascii="Times New Roman" w:hAnsi="Times New Roman"/>
                <w:i w:val="1"/>
                <w:sz w:val="24"/>
              </w:rPr>
              <w:t>36</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7F040000">
            <w:pPr>
              <w:ind/>
              <w:jc w:val="both"/>
              <w:rPr>
                <w:rFonts w:ascii="Times New Roman" w:hAnsi="Times New Roman"/>
                <w:sz w:val="24"/>
              </w:rPr>
            </w:pPr>
            <w:r>
              <w:rPr>
                <w:rFonts w:ascii="Times New Roman" w:hAnsi="Times New Roman"/>
                <w:sz w:val="24"/>
              </w:rPr>
              <w:t>производственная</w:t>
            </w:r>
          </w:p>
        </w:tc>
        <w:tc>
          <w:tcPr>
            <w:tcW w:type="dxa" w:w="2336"/>
            <w:tcBorders>
              <w:top w:color="000000" w:sz="6" w:val="single"/>
              <w:left w:color="000000" w:sz="6" w:val="single"/>
              <w:bottom w:color="000000" w:sz="6" w:val="single"/>
              <w:right w:color="000000" w:sz="6" w:val="single"/>
            </w:tcBorders>
            <w:vAlign w:val="center"/>
          </w:tcPr>
          <w:p w14:paraId="80040000">
            <w:pPr>
              <w:ind/>
              <w:jc w:val="center"/>
              <w:rPr>
                <w:rFonts w:ascii="Times New Roman" w:hAnsi="Times New Roman"/>
                <w:i w:val="1"/>
                <w:sz w:val="24"/>
              </w:rPr>
            </w:pPr>
            <w:r>
              <w:rPr>
                <w:rFonts w:ascii="Times New Roman" w:hAnsi="Times New Roman"/>
                <w:i w:val="1"/>
                <w:sz w:val="24"/>
              </w:rPr>
              <w:t>72</w:t>
            </w:r>
          </w:p>
        </w:tc>
        <w:tc>
          <w:tcPr>
            <w:tcW w:type="dxa" w:w="2630"/>
            <w:tcBorders>
              <w:top w:color="000000" w:sz="6" w:val="single"/>
              <w:left w:color="000000" w:sz="6" w:val="single"/>
              <w:bottom w:color="000000" w:sz="6" w:val="single"/>
              <w:right w:color="000000" w:sz="6" w:val="single"/>
            </w:tcBorders>
            <w:vAlign w:val="center"/>
          </w:tcPr>
          <w:p w14:paraId="81040000">
            <w:pPr>
              <w:ind/>
              <w:jc w:val="center"/>
              <w:rPr>
                <w:rFonts w:ascii="Times New Roman" w:hAnsi="Times New Roman"/>
                <w:i w:val="1"/>
                <w:sz w:val="24"/>
              </w:rPr>
            </w:pPr>
            <w:r>
              <w:rPr>
                <w:rFonts w:ascii="Times New Roman" w:hAnsi="Times New Roman"/>
                <w:i w:val="1"/>
                <w:sz w:val="24"/>
              </w:rPr>
              <w:t>72</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82040000">
            <w:pPr>
              <w:ind/>
              <w:jc w:val="both"/>
              <w:rPr>
                <w:rFonts w:ascii="Times New Roman" w:hAnsi="Times New Roman"/>
                <w:sz w:val="24"/>
              </w:rPr>
            </w:pPr>
            <w:r>
              <w:rPr>
                <w:rFonts w:ascii="Times New Roman" w:hAnsi="Times New Roman"/>
                <w:sz w:val="24"/>
              </w:rPr>
              <w:t xml:space="preserve">Промежуточная аттестация </w:t>
            </w:r>
          </w:p>
        </w:tc>
        <w:tc>
          <w:tcPr>
            <w:tcW w:type="dxa" w:w="2336"/>
            <w:tcBorders>
              <w:top w:color="000000" w:sz="6" w:val="single"/>
              <w:left w:color="000000" w:sz="6" w:val="single"/>
              <w:bottom w:color="000000" w:sz="6" w:val="single"/>
              <w:right w:color="000000" w:sz="6" w:val="single"/>
            </w:tcBorders>
            <w:vAlign w:val="center"/>
          </w:tcPr>
          <w:p w14:paraId="83040000">
            <w:pPr>
              <w:ind/>
              <w:jc w:val="center"/>
              <w:rPr>
                <w:rFonts w:ascii="Times New Roman" w:hAnsi="Times New Roman"/>
                <w:sz w:val="24"/>
              </w:rPr>
            </w:pPr>
            <w:r>
              <w:rPr>
                <w:rFonts w:ascii="Times New Roman" w:hAnsi="Times New Roman"/>
                <w:sz w:val="24"/>
              </w:rPr>
              <w:t>ХХ</w:t>
            </w:r>
          </w:p>
        </w:tc>
        <w:tc>
          <w:tcPr>
            <w:tcW w:type="dxa" w:w="2630"/>
            <w:tcBorders>
              <w:top w:color="000000" w:sz="6" w:val="single"/>
              <w:left w:color="000000" w:sz="6" w:val="single"/>
              <w:bottom w:color="000000" w:sz="6" w:val="single"/>
              <w:right w:color="000000" w:sz="6" w:val="single"/>
            </w:tcBorders>
            <w:vAlign w:val="center"/>
          </w:tcPr>
          <w:p w14:paraId="84040000">
            <w:pPr>
              <w:ind/>
              <w:jc w:val="center"/>
              <w:rPr>
                <w:rFonts w:ascii="Times New Roman" w:hAnsi="Times New Roman"/>
                <w:sz w:val="24"/>
              </w:rPr>
            </w:pPr>
            <w:r>
              <w:rPr>
                <w:rFonts w:ascii="Times New Roman" w:hAnsi="Times New Roman"/>
                <w:sz w:val="24"/>
              </w:rPr>
              <w:t>ХХ</w:t>
            </w:r>
          </w:p>
        </w:tc>
      </w:tr>
      <w:tr>
        <w:trPr>
          <w:trHeight w:hRule="atLeast" w:val="23"/>
        </w:trPr>
        <w:tc>
          <w:tcPr>
            <w:tcW w:type="dxa" w:w="4810"/>
            <w:tcBorders>
              <w:top w:color="000000" w:sz="6" w:val="single"/>
              <w:left w:color="000000" w:sz="6" w:val="single"/>
              <w:bottom w:color="000000" w:sz="6" w:val="single"/>
              <w:right w:color="000000" w:sz="6" w:val="single"/>
            </w:tcBorders>
            <w:vAlign w:val="center"/>
          </w:tcPr>
          <w:p w14:paraId="85040000">
            <w:pPr>
              <w:ind/>
              <w:jc w:val="both"/>
              <w:rPr>
                <w:rFonts w:ascii="Times New Roman" w:hAnsi="Times New Roman"/>
                <w:sz w:val="24"/>
              </w:rPr>
            </w:pPr>
            <w:r>
              <w:rPr>
                <w:rFonts w:ascii="Times New Roman" w:hAnsi="Times New Roman"/>
                <w:sz w:val="24"/>
              </w:rPr>
              <w:t>Всего</w:t>
            </w:r>
          </w:p>
        </w:tc>
        <w:tc>
          <w:tcPr>
            <w:tcW w:type="dxa" w:w="2336"/>
            <w:tcBorders>
              <w:top w:color="000000" w:sz="6" w:val="single"/>
              <w:left w:color="000000" w:sz="6" w:val="single"/>
              <w:bottom w:color="000000" w:sz="6" w:val="single"/>
              <w:right w:color="000000" w:sz="6" w:val="single"/>
            </w:tcBorders>
            <w:vAlign w:val="center"/>
          </w:tcPr>
          <w:p w14:paraId="86040000">
            <w:pPr>
              <w:ind/>
              <w:jc w:val="center"/>
              <w:rPr>
                <w:rFonts w:ascii="Times New Roman" w:hAnsi="Times New Roman"/>
                <w:b w:val="1"/>
                <w:sz w:val="24"/>
              </w:rPr>
            </w:pPr>
            <w:r>
              <w:rPr>
                <w:rFonts w:ascii="Times New Roman" w:hAnsi="Times New Roman"/>
                <w:b w:val="1"/>
                <w:sz w:val="24"/>
              </w:rPr>
              <w:t>280</w:t>
            </w:r>
          </w:p>
        </w:tc>
        <w:tc>
          <w:tcPr>
            <w:tcW w:type="dxa" w:w="2630"/>
            <w:tcBorders>
              <w:top w:color="000000" w:sz="6" w:val="single"/>
              <w:left w:color="000000" w:sz="6" w:val="single"/>
              <w:bottom w:color="000000" w:sz="6" w:val="single"/>
              <w:right w:color="000000" w:sz="6" w:val="single"/>
            </w:tcBorders>
            <w:vAlign w:val="center"/>
          </w:tcPr>
          <w:p w14:paraId="87040000">
            <w:pPr>
              <w:ind/>
              <w:jc w:val="center"/>
              <w:rPr>
                <w:rFonts w:ascii="Times New Roman" w:hAnsi="Times New Roman"/>
                <w:b w:val="1"/>
                <w:sz w:val="24"/>
              </w:rPr>
            </w:pPr>
            <w:r>
              <w:rPr>
                <w:rFonts w:ascii="Times New Roman" w:hAnsi="Times New Roman"/>
                <w:b w:val="1"/>
                <w:sz w:val="24"/>
              </w:rPr>
              <w:t>194</w:t>
            </w:r>
          </w:p>
        </w:tc>
      </w:tr>
    </w:tbl>
    <w:p w14:paraId="88040000">
      <w:pPr>
        <w:rPr>
          <w:rFonts w:ascii="Times New Roman" w:hAnsi="Times New Roman"/>
          <w:i w:val="1"/>
          <w:sz w:val="24"/>
        </w:rPr>
      </w:pPr>
    </w:p>
    <w:p w14:paraId="89040000">
      <w:pPr>
        <w:rPr>
          <w:rFonts w:ascii="Times New Roman" w:hAnsi="Times New Roman"/>
          <w:i w:val="1"/>
          <w:sz w:val="24"/>
        </w:rPr>
      </w:pPr>
    </w:p>
    <w:p w14:paraId="8A040000">
      <w:pPr>
        <w:rPr>
          <w:rFonts w:ascii="Times New Roman" w:hAnsi="Times New Roman"/>
          <w:i w:val="1"/>
          <w:sz w:val="24"/>
        </w:rPr>
      </w:pPr>
    </w:p>
    <w:p w14:paraId="8B040000">
      <w:bookmarkStart w:id="38" w:name="__RefHeading___18"/>
      <w:bookmarkEnd w:id="38"/>
      <w:bookmarkStart w:id="39" w:name="__RefHeading___41"/>
      <w:bookmarkEnd w:id="39"/>
      <w:pPr>
        <w:pStyle w:val="Style_7"/>
        <w:rPr>
          <w:rFonts w:ascii="Times New Roman" w:hAnsi="Times New Roman"/>
        </w:rPr>
      </w:pPr>
      <w:r>
        <w:rPr>
          <w:rFonts w:ascii="Times New Roman" w:hAnsi="Times New Roman"/>
        </w:rPr>
        <w:t xml:space="preserve">2.2. Структура профессионального модуля </w:t>
      </w:r>
    </w:p>
    <w:tbl>
      <w:tblPr>
        <w:tblStyle w:val="Style_8"/>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41"/>
        <w:gridCol w:w="3977"/>
        <w:gridCol w:w="849"/>
        <w:gridCol w:w="567"/>
        <w:gridCol w:w="636"/>
        <w:gridCol w:w="563"/>
        <w:gridCol w:w="421"/>
        <w:gridCol w:w="479"/>
        <w:gridCol w:w="453"/>
        <w:gridCol w:w="565"/>
      </w:tblGrid>
      <w:tr>
        <w:trPr>
          <w:trHeight w:hRule="atLeast" w:val="3271"/>
        </w:trPr>
        <w:tc>
          <w:tcPr>
            <w:tcW w:type="dxa" w:w="841"/>
            <w:tcBorders>
              <w:top w:color="000000" w:sz="4" w:val="single"/>
              <w:left w:color="000000" w:sz="4" w:val="single"/>
              <w:bottom w:color="000000" w:sz="4" w:val="single"/>
              <w:right w:color="000000" w:sz="4" w:val="single"/>
            </w:tcBorders>
          </w:tcPr>
          <w:p w14:paraId="8C040000">
            <w:pPr>
              <w:ind/>
              <w:jc w:val="center"/>
              <w:rPr>
                <w:rFonts w:ascii="Times New Roman" w:hAnsi="Times New Roman"/>
              </w:rPr>
            </w:pPr>
            <w:r>
              <w:rPr>
                <w:rFonts w:ascii="Times New Roman" w:hAnsi="Times New Roman"/>
              </w:rPr>
              <w:t>Код ОК, ПК</w:t>
            </w:r>
          </w:p>
        </w:tc>
        <w:tc>
          <w:tcPr>
            <w:tcW w:type="dxa" w:w="3977"/>
            <w:tcBorders>
              <w:top w:color="000000" w:sz="4" w:val="single"/>
              <w:left w:color="000000" w:sz="4" w:val="single"/>
              <w:bottom w:color="000000" w:sz="4" w:val="single"/>
              <w:right w:color="000000" w:sz="4" w:val="single"/>
            </w:tcBorders>
            <w:vAlign w:val="center"/>
          </w:tcPr>
          <w:p w14:paraId="8D040000">
            <w:pPr>
              <w:ind/>
              <w:jc w:val="center"/>
              <w:rPr>
                <w:rFonts w:ascii="Times New Roman" w:hAnsi="Times New Roman"/>
              </w:rPr>
            </w:pPr>
            <w:r>
              <w:rPr>
                <w:rFonts w:ascii="Times New Roman" w:hAnsi="Times New Roman"/>
              </w:rPr>
              <w:t>Наименования разделов профессионального модуля</w:t>
            </w:r>
          </w:p>
        </w:tc>
        <w:tc>
          <w:tcPr>
            <w:tcW w:type="dxa" w:w="849"/>
            <w:tcBorders>
              <w:top w:color="000000" w:sz="4" w:val="single"/>
              <w:left w:color="000000" w:sz="4" w:val="single"/>
              <w:bottom w:color="000000" w:sz="4" w:val="single"/>
              <w:right w:color="000000" w:sz="4" w:val="single"/>
            </w:tcBorders>
            <w:vAlign w:val="center"/>
          </w:tcPr>
          <w:p w14:paraId="8E040000">
            <w:pPr>
              <w:ind/>
              <w:jc w:val="center"/>
              <w:rPr>
                <w:rFonts w:ascii="Times New Roman" w:hAnsi="Times New Roman"/>
              </w:rPr>
            </w:pPr>
            <w:r>
              <w:rPr>
                <w:rFonts w:ascii="Times New Roman" w:hAnsi="Times New Roman"/>
              </w:rPr>
              <w:t>Всего, час.</w:t>
            </w:r>
          </w:p>
        </w:tc>
        <w:tc>
          <w:tcPr>
            <w:tcW w:type="dxa" w:w="567"/>
            <w:tcBorders>
              <w:top w:color="000000" w:sz="4" w:val="single"/>
              <w:left w:color="000000" w:sz="4" w:val="single"/>
              <w:bottom w:color="000000" w:sz="4" w:val="single"/>
              <w:right w:color="000000" w:sz="4" w:val="single"/>
            </w:tcBorders>
            <w:textDirection w:val="btLr"/>
            <w:vAlign w:val="center"/>
          </w:tcPr>
          <w:p w14:paraId="8F040000">
            <w:pPr>
              <w:ind/>
              <w:jc w:val="center"/>
              <w:rPr>
                <w:rFonts w:ascii="Times New Roman" w:hAnsi="Times New Roman"/>
              </w:rPr>
            </w:pPr>
            <w:r>
              <w:rPr>
                <w:rFonts w:ascii="Times New Roman" w:hAnsi="Times New Roman"/>
              </w:rPr>
              <w:t>В т.ч. в форме практической подготовки</w:t>
            </w:r>
          </w:p>
        </w:tc>
        <w:tc>
          <w:tcPr>
            <w:tcW w:type="dxa" w:w="636"/>
            <w:tcBorders>
              <w:top w:color="000000" w:sz="4" w:val="single"/>
              <w:left w:color="000000" w:sz="4" w:val="single"/>
              <w:bottom w:color="000000" w:sz="4" w:val="single"/>
              <w:right w:color="000000" w:sz="4" w:val="single"/>
            </w:tcBorders>
            <w:shd w:themeFill="background1" w:themeFillShade="D9" w:val="clear"/>
            <w:textDirection w:val="btLr"/>
            <w:vAlign w:val="center"/>
          </w:tcPr>
          <w:p w14:paraId="90040000">
            <w:pPr>
              <w:ind w:firstLine="0" w:left="113" w:right="113"/>
              <w:jc w:val="center"/>
              <w:rPr>
                <w:rFonts w:ascii="Times New Roman" w:hAnsi="Times New Roman"/>
              </w:rPr>
            </w:pPr>
            <w:r>
              <w:rPr>
                <w:rFonts w:ascii="Times New Roman" w:hAnsi="Times New Roman"/>
              </w:rPr>
              <w:t>Обучение по МДК, в т.ч.:</w:t>
            </w:r>
          </w:p>
        </w:tc>
        <w:tc>
          <w:tcPr>
            <w:tcW w:type="dxa" w:w="563"/>
            <w:tcBorders>
              <w:top w:color="000000" w:sz="4" w:val="single"/>
              <w:left w:color="000000" w:sz="4" w:val="single"/>
              <w:bottom w:color="000000" w:sz="4" w:val="single"/>
              <w:right w:color="000000" w:sz="4" w:val="single"/>
            </w:tcBorders>
            <w:textDirection w:val="btLr"/>
            <w:vAlign w:val="center"/>
          </w:tcPr>
          <w:p w14:paraId="91040000">
            <w:pPr>
              <w:ind/>
              <w:jc w:val="center"/>
              <w:rPr>
                <w:rFonts w:ascii="Times New Roman" w:hAnsi="Times New Roman"/>
              </w:rPr>
            </w:pPr>
            <w:r>
              <w:rPr>
                <w:rFonts w:ascii="Times New Roman" w:hAnsi="Times New Roman"/>
                <w:sz w:val="24"/>
              </w:rPr>
              <w:t>Учебные занятия</w:t>
            </w:r>
          </w:p>
        </w:tc>
        <w:tc>
          <w:tcPr>
            <w:tcW w:type="dxa" w:w="421"/>
            <w:tcBorders>
              <w:top w:color="000000" w:sz="4" w:val="single"/>
              <w:left w:color="000000" w:sz="4" w:val="single"/>
              <w:bottom w:color="000000" w:sz="4" w:val="single"/>
              <w:right w:color="000000" w:sz="4" w:val="single"/>
            </w:tcBorders>
            <w:textDirection w:val="btLr"/>
            <w:vAlign w:val="center"/>
          </w:tcPr>
          <w:p w14:paraId="92040000">
            <w:pPr>
              <w:ind/>
              <w:jc w:val="center"/>
              <w:rPr>
                <w:rFonts w:ascii="Times New Roman" w:hAnsi="Times New Roman"/>
              </w:rPr>
            </w:pPr>
            <w:r>
              <w:rPr>
                <w:rFonts w:ascii="Times New Roman" w:hAnsi="Times New Roman"/>
              </w:rPr>
              <w:t>Курсовая работа (проект)</w:t>
            </w:r>
          </w:p>
        </w:tc>
        <w:tc>
          <w:tcPr>
            <w:tcW w:type="dxa" w:w="479"/>
            <w:tcBorders>
              <w:top w:color="000000" w:sz="4" w:val="single"/>
              <w:left w:color="000000" w:sz="4" w:val="single"/>
              <w:bottom w:color="000000" w:sz="4" w:val="single"/>
              <w:right w:color="000000" w:sz="4" w:val="single"/>
            </w:tcBorders>
            <w:textDirection w:val="btLr"/>
            <w:vAlign w:val="center"/>
          </w:tcPr>
          <w:p w14:paraId="93040000">
            <w:pPr>
              <w:ind/>
              <w:jc w:val="center"/>
              <w:rPr>
                <w:rFonts w:ascii="Times New Roman" w:hAnsi="Times New Roman"/>
              </w:rPr>
            </w:pPr>
            <w:r>
              <w:rPr>
                <w:rFonts w:ascii="Times New Roman" w:hAnsi="Times New Roman"/>
              </w:rPr>
              <w:t>Самостоятельная работа</w:t>
            </w:r>
            <w:r>
              <w:rPr>
                <w:rFonts w:ascii="Times New Roman" w:hAnsi="Times New Roman"/>
                <w:i w:val="1"/>
                <w:vertAlign w:val="superscript"/>
              </w:rPr>
              <w:footnoteReference w:id="6"/>
            </w:r>
          </w:p>
        </w:tc>
        <w:tc>
          <w:tcPr>
            <w:tcW w:type="dxa" w:w="453"/>
            <w:tcBorders>
              <w:top w:color="000000" w:sz="4" w:val="single"/>
              <w:left w:color="000000" w:sz="4" w:val="single"/>
              <w:bottom w:color="000000" w:sz="4" w:val="single"/>
              <w:right w:color="000000" w:sz="4" w:val="single"/>
            </w:tcBorders>
            <w:shd w:themeFill="background1" w:themeFillShade="D9" w:val="clear"/>
            <w:textDirection w:val="btLr"/>
            <w:vAlign w:val="center"/>
          </w:tcPr>
          <w:p w14:paraId="94040000">
            <w:pPr>
              <w:ind/>
              <w:jc w:val="center"/>
              <w:rPr>
                <w:rFonts w:ascii="Times New Roman" w:hAnsi="Times New Roman"/>
              </w:rPr>
            </w:pPr>
            <w:r>
              <w:rPr>
                <w:rFonts w:ascii="Times New Roman" w:hAnsi="Times New Roman"/>
              </w:rPr>
              <w:t>Учебная практика</w:t>
            </w:r>
          </w:p>
        </w:tc>
        <w:tc>
          <w:tcPr>
            <w:tcW w:type="dxa" w:w="565"/>
            <w:tcBorders>
              <w:top w:color="000000" w:sz="4" w:val="single"/>
              <w:left w:color="000000" w:sz="4" w:val="single"/>
              <w:bottom w:color="000000" w:sz="4" w:val="single"/>
              <w:right w:color="000000" w:sz="4" w:val="single"/>
            </w:tcBorders>
            <w:shd w:themeFill="background1" w:themeFillShade="D9" w:val="clear"/>
            <w:textDirection w:val="btLr"/>
          </w:tcPr>
          <w:p w14:paraId="95040000">
            <w:pPr>
              <w:ind/>
              <w:jc w:val="center"/>
              <w:rPr>
                <w:rFonts w:ascii="Times New Roman" w:hAnsi="Times New Roman"/>
              </w:rPr>
            </w:pPr>
            <w:r>
              <w:rPr>
                <w:rFonts w:ascii="Times New Roman" w:hAnsi="Times New Roman"/>
              </w:rPr>
              <w:t>Производственная практика</w:t>
            </w:r>
          </w:p>
        </w:tc>
      </w:tr>
      <w:tr>
        <w:trPr>
          <w:trHeight w:hRule="atLeast" w:val="73"/>
        </w:trPr>
        <w:tc>
          <w:tcPr>
            <w:tcW w:type="dxa" w:w="841"/>
            <w:tcBorders>
              <w:top w:color="000000" w:sz="4" w:val="single"/>
              <w:left w:color="000000" w:sz="4" w:val="single"/>
              <w:bottom w:color="000000" w:sz="4" w:val="single"/>
              <w:right w:color="000000" w:sz="4" w:val="single"/>
            </w:tcBorders>
            <w:vAlign w:val="center"/>
          </w:tcPr>
          <w:p w14:paraId="96040000">
            <w:pPr>
              <w:ind/>
              <w:jc w:val="center"/>
              <w:rPr>
                <w:rFonts w:ascii="Times New Roman" w:hAnsi="Times New Roman"/>
                <w:sz w:val="16"/>
              </w:rPr>
            </w:pPr>
            <w:r>
              <w:rPr>
                <w:rFonts w:ascii="Times New Roman" w:hAnsi="Times New Roman"/>
                <w:sz w:val="16"/>
              </w:rPr>
              <w:t>1</w:t>
            </w:r>
          </w:p>
        </w:tc>
        <w:tc>
          <w:tcPr>
            <w:tcW w:type="dxa" w:w="3977"/>
            <w:tcBorders>
              <w:top w:color="000000" w:sz="4" w:val="single"/>
              <w:left w:color="000000" w:sz="4" w:val="single"/>
              <w:bottom w:color="000000" w:sz="4" w:val="single"/>
              <w:right w:color="000000" w:sz="4" w:val="single"/>
            </w:tcBorders>
            <w:vAlign w:val="center"/>
          </w:tcPr>
          <w:p w14:paraId="97040000">
            <w:pPr>
              <w:ind/>
              <w:jc w:val="center"/>
              <w:rPr>
                <w:rFonts w:ascii="Times New Roman" w:hAnsi="Times New Roman"/>
                <w:sz w:val="16"/>
              </w:rPr>
            </w:pPr>
            <w:r>
              <w:rPr>
                <w:rFonts w:ascii="Times New Roman" w:hAnsi="Times New Roman"/>
                <w:sz w:val="16"/>
              </w:rPr>
              <w:t>2</w:t>
            </w:r>
          </w:p>
        </w:tc>
        <w:tc>
          <w:tcPr>
            <w:tcW w:type="dxa" w:w="849"/>
            <w:tcBorders>
              <w:top w:color="000000" w:sz="4" w:val="single"/>
              <w:left w:color="000000" w:sz="4" w:val="single"/>
              <w:bottom w:color="000000" w:sz="4" w:val="single"/>
              <w:right w:color="000000" w:sz="4" w:val="single"/>
            </w:tcBorders>
            <w:vAlign w:val="center"/>
          </w:tcPr>
          <w:p w14:paraId="98040000">
            <w:pPr>
              <w:ind/>
              <w:jc w:val="center"/>
              <w:rPr>
                <w:rFonts w:ascii="Times New Roman" w:hAnsi="Times New Roman"/>
                <w:sz w:val="16"/>
              </w:rPr>
            </w:pPr>
            <w:r>
              <w:rPr>
                <w:rFonts w:ascii="Times New Roman" w:hAnsi="Times New Roman"/>
                <w:sz w:val="16"/>
              </w:rPr>
              <w:t>3</w:t>
            </w:r>
          </w:p>
        </w:tc>
        <w:tc>
          <w:tcPr>
            <w:tcW w:type="dxa" w:w="567"/>
            <w:tcBorders>
              <w:top w:color="000000" w:sz="4" w:val="single"/>
              <w:left w:color="000000" w:sz="4" w:val="single"/>
              <w:bottom w:color="000000" w:sz="4" w:val="single"/>
              <w:right w:color="000000" w:sz="4" w:val="single"/>
            </w:tcBorders>
            <w:vAlign w:val="center"/>
          </w:tcPr>
          <w:p w14:paraId="99040000">
            <w:pPr>
              <w:ind/>
              <w:jc w:val="center"/>
              <w:rPr>
                <w:rFonts w:ascii="Times New Roman" w:hAnsi="Times New Roman"/>
                <w:sz w:val="16"/>
              </w:rPr>
            </w:pPr>
            <w:r>
              <w:rPr>
                <w:rFonts w:ascii="Times New Roman" w:hAnsi="Times New Roman"/>
                <w:sz w:val="16"/>
              </w:rPr>
              <w:t>4</w:t>
            </w:r>
          </w:p>
        </w:tc>
        <w:tc>
          <w:tcPr>
            <w:tcW w:type="dxa" w:w="636"/>
            <w:tcBorders>
              <w:top w:color="000000" w:sz="4" w:val="single"/>
              <w:left w:color="000000" w:sz="4" w:val="single"/>
              <w:bottom w:color="000000" w:sz="4" w:val="single"/>
              <w:right w:color="000000" w:sz="4" w:val="single"/>
            </w:tcBorders>
            <w:shd w:themeFill="background1" w:themeFillShade="D9" w:val="clear"/>
            <w:vAlign w:val="center"/>
          </w:tcPr>
          <w:p w14:paraId="9A040000">
            <w:pPr>
              <w:ind/>
              <w:jc w:val="center"/>
              <w:rPr>
                <w:rFonts w:ascii="Times New Roman" w:hAnsi="Times New Roman"/>
                <w:sz w:val="16"/>
              </w:rPr>
            </w:pPr>
            <w:r>
              <w:rPr>
                <w:rFonts w:ascii="Times New Roman" w:hAnsi="Times New Roman"/>
                <w:sz w:val="16"/>
              </w:rPr>
              <w:t>5</w:t>
            </w:r>
          </w:p>
        </w:tc>
        <w:tc>
          <w:tcPr>
            <w:tcW w:type="dxa" w:w="563"/>
            <w:tcBorders>
              <w:top w:color="000000" w:sz="4" w:val="single"/>
              <w:left w:color="000000" w:sz="4" w:val="single"/>
              <w:bottom w:color="000000" w:sz="4" w:val="single"/>
              <w:right w:color="000000" w:sz="4" w:val="single"/>
            </w:tcBorders>
            <w:vAlign w:val="center"/>
          </w:tcPr>
          <w:p w14:paraId="9B040000">
            <w:pPr>
              <w:ind/>
              <w:jc w:val="center"/>
              <w:rPr>
                <w:rFonts w:ascii="Times New Roman" w:hAnsi="Times New Roman"/>
                <w:sz w:val="16"/>
              </w:rPr>
            </w:pPr>
            <w:r>
              <w:rPr>
                <w:rFonts w:ascii="Times New Roman" w:hAnsi="Times New Roman"/>
                <w:color w:val="000000"/>
                <w:sz w:val="16"/>
              </w:rPr>
              <w:t>6</w:t>
            </w:r>
          </w:p>
        </w:tc>
        <w:tc>
          <w:tcPr>
            <w:tcW w:type="dxa" w:w="421"/>
            <w:tcBorders>
              <w:top w:color="000000" w:sz="4" w:val="single"/>
              <w:left w:color="000000" w:sz="4" w:val="single"/>
              <w:bottom w:color="000000" w:sz="4" w:val="single"/>
              <w:right w:color="000000" w:sz="4" w:val="single"/>
            </w:tcBorders>
            <w:vAlign w:val="center"/>
          </w:tcPr>
          <w:p w14:paraId="9C040000">
            <w:pPr>
              <w:ind/>
              <w:jc w:val="center"/>
              <w:rPr>
                <w:rFonts w:ascii="Times New Roman" w:hAnsi="Times New Roman"/>
                <w:sz w:val="16"/>
              </w:rPr>
            </w:pPr>
            <w:r>
              <w:rPr>
                <w:rFonts w:ascii="Times New Roman" w:hAnsi="Times New Roman"/>
                <w:sz w:val="16"/>
              </w:rPr>
              <w:t>7</w:t>
            </w:r>
          </w:p>
        </w:tc>
        <w:tc>
          <w:tcPr>
            <w:tcW w:type="dxa" w:w="479"/>
            <w:tcBorders>
              <w:top w:color="000000" w:sz="4" w:val="single"/>
              <w:left w:color="000000" w:sz="4" w:val="single"/>
              <w:bottom w:color="000000" w:sz="4" w:val="single"/>
              <w:right w:color="000000" w:sz="4" w:val="single"/>
            </w:tcBorders>
            <w:vAlign w:val="center"/>
          </w:tcPr>
          <w:p w14:paraId="9D040000">
            <w:pPr>
              <w:ind/>
              <w:jc w:val="center"/>
              <w:rPr>
                <w:rFonts w:ascii="Times New Roman" w:hAnsi="Times New Roman"/>
                <w:sz w:val="16"/>
              </w:rPr>
            </w:pPr>
            <w:r>
              <w:rPr>
                <w:rFonts w:ascii="Times New Roman" w:hAnsi="Times New Roman"/>
                <w:sz w:val="16"/>
              </w:rPr>
              <w:t>8</w:t>
            </w:r>
          </w:p>
        </w:tc>
        <w:tc>
          <w:tcPr>
            <w:tcW w:type="dxa" w:w="453"/>
            <w:tcBorders>
              <w:top w:color="000000" w:sz="4" w:val="single"/>
              <w:left w:color="000000" w:sz="4" w:val="single"/>
              <w:bottom w:color="000000" w:sz="4" w:val="single"/>
              <w:right w:color="000000" w:sz="4" w:val="single"/>
            </w:tcBorders>
            <w:shd w:themeFill="background1" w:themeFillShade="D9" w:val="clear"/>
          </w:tcPr>
          <w:p w14:paraId="9E040000">
            <w:pPr>
              <w:ind/>
              <w:jc w:val="center"/>
              <w:rPr>
                <w:rFonts w:ascii="Times New Roman" w:hAnsi="Times New Roman"/>
                <w:sz w:val="16"/>
              </w:rPr>
            </w:pPr>
            <w:r>
              <w:rPr>
                <w:rFonts w:ascii="Times New Roman" w:hAnsi="Times New Roman"/>
                <w:sz w:val="16"/>
              </w:rPr>
              <w:t>9</w:t>
            </w:r>
          </w:p>
        </w:tc>
        <w:tc>
          <w:tcPr>
            <w:tcW w:type="dxa" w:w="565"/>
            <w:tcBorders>
              <w:top w:color="000000" w:sz="4" w:val="single"/>
              <w:left w:color="000000" w:sz="4" w:val="single"/>
              <w:bottom w:color="000000" w:sz="4" w:val="single"/>
              <w:right w:color="000000" w:sz="4" w:val="single"/>
            </w:tcBorders>
            <w:shd w:themeFill="background1" w:themeFillShade="D9" w:val="clear"/>
          </w:tcPr>
          <w:p w14:paraId="9F040000">
            <w:pPr>
              <w:ind/>
              <w:jc w:val="center"/>
              <w:rPr>
                <w:rFonts w:ascii="Times New Roman" w:hAnsi="Times New Roman"/>
                <w:sz w:val="16"/>
              </w:rPr>
            </w:pPr>
            <w:r>
              <w:rPr>
                <w:rFonts w:ascii="Times New Roman" w:hAnsi="Times New Roman"/>
                <w:sz w:val="16"/>
              </w:rPr>
              <w:t>10</w:t>
            </w:r>
          </w:p>
        </w:tc>
      </w:tr>
      <w:tr>
        <w:tc>
          <w:tcPr>
            <w:tcW w:type="dxa" w:w="841"/>
            <w:tcBorders>
              <w:top w:color="000000" w:sz="4" w:val="single"/>
              <w:left w:color="000000" w:sz="4" w:val="single"/>
              <w:bottom w:color="000000" w:sz="4" w:val="single"/>
              <w:right w:color="000000" w:sz="4" w:val="single"/>
            </w:tcBorders>
          </w:tcPr>
          <w:p w14:paraId="A0040000">
            <w:pPr>
              <w:rPr>
                <w:rFonts w:ascii="Times New Roman" w:hAnsi="Times New Roman"/>
                <w:sz w:val="16"/>
              </w:rPr>
            </w:pPr>
            <w:r>
              <w:rPr>
                <w:rFonts w:ascii="Times New Roman" w:hAnsi="Times New Roman"/>
                <w:sz w:val="16"/>
              </w:rPr>
              <w:t>ПК 2.1</w:t>
            </w:r>
          </w:p>
        </w:tc>
        <w:tc>
          <w:tcPr>
            <w:tcW w:type="dxa" w:w="3977"/>
            <w:tcBorders>
              <w:top w:color="000000" w:sz="4" w:val="single"/>
              <w:left w:color="000000" w:sz="4" w:val="single"/>
              <w:bottom w:color="000000" w:sz="4" w:val="single"/>
              <w:right w:color="000000" w:sz="4" w:val="single"/>
            </w:tcBorders>
          </w:tcPr>
          <w:p w14:paraId="A1040000">
            <w:pPr>
              <w:rPr>
                <w:rFonts w:ascii="Times New Roman" w:hAnsi="Times New Roman"/>
                <w:color w:val="000000"/>
              </w:rPr>
            </w:pPr>
            <w:r>
              <w:rPr>
                <w:rFonts w:ascii="Times New Roman" w:hAnsi="Times New Roman"/>
              </w:rPr>
              <w:t xml:space="preserve">Раздел 1. </w:t>
            </w:r>
            <w:r>
              <w:rPr>
                <w:rFonts w:ascii="Times New Roman" w:hAnsi="Times New Roman"/>
                <w:color w:val="000000"/>
              </w:rPr>
              <w:t>Бухгалтерская технология проведения и оформления инвентаризации</w:t>
            </w:r>
          </w:p>
          <w:p w14:paraId="A2040000">
            <w:pPr>
              <w:rPr>
                <w:rFonts w:ascii="Times New Roman" w:hAnsi="Times New Roman"/>
              </w:rPr>
            </w:pPr>
            <w:r>
              <w:rPr>
                <w:rFonts w:ascii="Times New Roman" w:hAnsi="Times New Roman"/>
              </w:rPr>
              <w:t xml:space="preserve"> </w:t>
            </w:r>
          </w:p>
        </w:tc>
        <w:tc>
          <w:tcPr>
            <w:tcW w:type="dxa" w:w="849"/>
            <w:tcBorders>
              <w:top w:color="000000" w:sz="4" w:val="single"/>
              <w:left w:color="000000" w:sz="4" w:val="single"/>
              <w:bottom w:color="000000" w:sz="4" w:val="single"/>
              <w:right w:color="000000" w:sz="4" w:val="single"/>
            </w:tcBorders>
            <w:vAlign w:val="center"/>
          </w:tcPr>
          <w:p w14:paraId="A3040000">
            <w:pPr>
              <w:ind/>
              <w:jc w:val="center"/>
              <w:rPr>
                <w:rFonts w:ascii="Times New Roman" w:hAnsi="Times New Roman"/>
                <w:b w:val="1"/>
              </w:rPr>
            </w:pPr>
            <w:r>
              <w:rPr>
                <w:rFonts w:ascii="Times New Roman" w:hAnsi="Times New Roman"/>
                <w:color w:val="000000"/>
              </w:rPr>
              <w:t>76</w:t>
            </w:r>
          </w:p>
        </w:tc>
        <w:tc>
          <w:tcPr>
            <w:tcW w:type="dxa" w:w="567"/>
            <w:tcBorders>
              <w:top w:color="000000" w:sz="4" w:val="single"/>
              <w:left w:color="000000" w:sz="4" w:val="single"/>
              <w:bottom w:color="000000" w:sz="4" w:val="single"/>
              <w:right w:color="000000" w:sz="4" w:val="single"/>
            </w:tcBorders>
            <w:vAlign w:val="center"/>
          </w:tcPr>
          <w:p w14:paraId="A4040000">
            <w:pPr>
              <w:ind/>
              <w:jc w:val="center"/>
              <w:rPr>
                <w:rFonts w:ascii="Times New Roman" w:hAnsi="Times New Roman"/>
                <w:b w:val="1"/>
              </w:rPr>
            </w:pPr>
            <w:r>
              <w:rPr>
                <w:rFonts w:ascii="Times New Roman" w:hAnsi="Times New Roman"/>
                <w:color w:val="000000"/>
              </w:rPr>
              <w:t>38</w:t>
            </w:r>
          </w:p>
        </w:tc>
        <w:tc>
          <w:tcPr>
            <w:tcW w:type="dxa" w:w="636"/>
            <w:tcBorders>
              <w:top w:color="000000" w:sz="4" w:val="single"/>
              <w:left w:color="000000" w:sz="4" w:val="single"/>
              <w:bottom w:color="000000" w:sz="4" w:val="single"/>
              <w:right w:color="000000" w:sz="4" w:val="single"/>
            </w:tcBorders>
            <w:shd w:themeFill="background1" w:themeFillShade="D9" w:val="clear"/>
            <w:vAlign w:val="center"/>
          </w:tcPr>
          <w:p w14:paraId="A5040000">
            <w:pPr>
              <w:ind/>
              <w:jc w:val="center"/>
              <w:rPr>
                <w:rFonts w:ascii="Times New Roman" w:hAnsi="Times New Roman"/>
                <w:b w:val="1"/>
              </w:rPr>
            </w:pPr>
            <w:r>
              <w:rPr>
                <w:rFonts w:ascii="Times New Roman" w:hAnsi="Times New Roman"/>
                <w:color w:val="000000"/>
              </w:rPr>
              <w:t>76</w:t>
            </w:r>
          </w:p>
        </w:tc>
        <w:tc>
          <w:tcPr>
            <w:tcW w:type="dxa" w:w="563"/>
            <w:tcBorders>
              <w:top w:color="000000" w:sz="4" w:val="single"/>
              <w:left w:color="000000" w:sz="4" w:val="single"/>
              <w:bottom w:color="000000" w:sz="4" w:val="single"/>
              <w:right w:color="000000" w:sz="4" w:val="single"/>
            </w:tcBorders>
            <w:vAlign w:val="center"/>
          </w:tcPr>
          <w:p w14:paraId="A6040000">
            <w:pPr>
              <w:ind/>
              <w:jc w:val="center"/>
              <w:rPr>
                <w:rFonts w:ascii="Times New Roman" w:hAnsi="Times New Roman"/>
              </w:rPr>
            </w:pPr>
            <w:r>
              <w:rPr>
                <w:rFonts w:ascii="Times New Roman" w:hAnsi="Times New Roman"/>
                <w:color w:val="000000"/>
              </w:rPr>
              <w:t>76</w:t>
            </w:r>
          </w:p>
        </w:tc>
        <w:tc>
          <w:tcPr>
            <w:tcW w:type="dxa" w:w="421"/>
            <w:tcBorders>
              <w:top w:color="000000" w:sz="4" w:val="single"/>
              <w:left w:color="000000" w:sz="4" w:val="single"/>
              <w:bottom w:color="000000" w:sz="4" w:val="single"/>
              <w:right w:color="000000" w:sz="4" w:val="single"/>
            </w:tcBorders>
          </w:tcPr>
          <w:p w14:paraId="A7040000">
            <w:pPr>
              <w:ind/>
              <w:jc w:val="center"/>
              <w:rPr>
                <w:rFonts w:ascii="Times New Roman" w:hAnsi="Times New Roman"/>
                <w:b w:val="1"/>
              </w:rPr>
            </w:pPr>
            <w:r>
              <w:rPr>
                <w:rFonts w:ascii="Times New Roman" w:hAnsi="Times New Roman"/>
              </w:rPr>
              <w:t>х</w:t>
            </w:r>
          </w:p>
        </w:tc>
        <w:tc>
          <w:tcPr>
            <w:tcW w:type="dxa" w:w="479"/>
            <w:tcBorders>
              <w:top w:color="000000" w:sz="4" w:val="single"/>
              <w:left w:color="000000" w:sz="4" w:val="single"/>
              <w:bottom w:color="000000" w:sz="4" w:val="single"/>
              <w:right w:color="000000" w:sz="4" w:val="single"/>
            </w:tcBorders>
          </w:tcPr>
          <w:p w14:paraId="A8040000">
            <w:pPr>
              <w:ind/>
              <w:jc w:val="center"/>
              <w:rPr>
                <w:rFonts w:ascii="Times New Roman" w:hAnsi="Times New Roman"/>
                <w:b w:val="1"/>
              </w:rPr>
            </w:pPr>
            <w:r>
              <w:rPr>
                <w:rFonts w:ascii="Times New Roman" w:hAnsi="Times New Roman"/>
                <w:b w:val="1"/>
              </w:rPr>
              <w:t>-</w:t>
            </w:r>
          </w:p>
        </w:tc>
        <w:tc>
          <w:tcPr>
            <w:tcW w:type="dxa" w:w="453"/>
            <w:tcBorders>
              <w:top w:color="000000" w:sz="4" w:val="single"/>
              <w:left w:color="000000" w:sz="4" w:val="single"/>
              <w:bottom w:color="000000" w:sz="4" w:val="single"/>
              <w:right w:color="000000" w:sz="4" w:val="single"/>
            </w:tcBorders>
            <w:shd w:themeFill="background1" w:themeFillShade="D9" w:val="clear"/>
          </w:tcPr>
          <w:p w14:paraId="A9040000">
            <w:pPr>
              <w:ind/>
              <w:jc w:val="center"/>
              <w:rPr>
                <w:rFonts w:ascii="Times New Roman" w:hAnsi="Times New Roman"/>
                <w:b w:val="1"/>
              </w:rPr>
            </w:pPr>
          </w:p>
        </w:tc>
        <w:tc>
          <w:tcPr>
            <w:tcW w:type="dxa" w:w="565"/>
            <w:tcBorders>
              <w:top w:color="000000" w:sz="4" w:val="single"/>
              <w:left w:color="000000" w:sz="4" w:val="single"/>
              <w:bottom w:color="000000" w:sz="4" w:val="single"/>
              <w:right w:color="000000" w:sz="4" w:val="single"/>
            </w:tcBorders>
            <w:shd w:themeFill="background1" w:themeFillShade="D9" w:val="clear"/>
          </w:tcPr>
          <w:p w14:paraId="AA040000">
            <w:pPr>
              <w:ind/>
              <w:jc w:val="center"/>
              <w:rPr>
                <w:rFonts w:ascii="Times New Roman" w:hAnsi="Times New Roman"/>
                <w:b w:val="1"/>
              </w:rPr>
            </w:pPr>
          </w:p>
        </w:tc>
      </w:tr>
      <w:tr>
        <w:trPr>
          <w:trHeight w:hRule="atLeast" w:val="314"/>
        </w:trPr>
        <w:tc>
          <w:tcPr>
            <w:tcW w:type="dxa" w:w="841"/>
            <w:tcBorders>
              <w:top w:color="000000" w:sz="4" w:val="single"/>
              <w:left w:color="000000" w:sz="4" w:val="single"/>
              <w:bottom w:color="000000" w:sz="4" w:val="single"/>
              <w:right w:color="000000" w:sz="4" w:val="single"/>
            </w:tcBorders>
          </w:tcPr>
          <w:p w14:paraId="AB040000">
            <w:pPr>
              <w:rPr>
                <w:rFonts w:ascii="Times New Roman" w:hAnsi="Times New Roman"/>
                <w:sz w:val="16"/>
              </w:rPr>
            </w:pPr>
            <w:r>
              <w:rPr>
                <w:rFonts w:ascii="Times New Roman" w:hAnsi="Times New Roman"/>
                <w:sz w:val="16"/>
              </w:rPr>
              <w:t>ПК 2.2</w:t>
            </w:r>
          </w:p>
          <w:p w14:paraId="AC040000">
            <w:pPr>
              <w:rPr>
                <w:rFonts w:ascii="Times New Roman" w:hAnsi="Times New Roman"/>
                <w:sz w:val="16"/>
              </w:rPr>
            </w:pPr>
            <w:r>
              <w:rPr>
                <w:rFonts w:ascii="Times New Roman" w:hAnsi="Times New Roman"/>
                <w:sz w:val="16"/>
              </w:rPr>
              <w:t>ПК 2.3</w:t>
            </w:r>
          </w:p>
          <w:p w14:paraId="AD040000">
            <w:pPr>
              <w:rPr>
                <w:rFonts w:ascii="Times New Roman" w:hAnsi="Times New Roman"/>
                <w:sz w:val="16"/>
              </w:rPr>
            </w:pPr>
          </w:p>
        </w:tc>
        <w:tc>
          <w:tcPr>
            <w:tcW w:type="dxa" w:w="3977"/>
            <w:tcBorders>
              <w:top w:color="000000" w:sz="4" w:val="single"/>
              <w:left w:color="000000" w:sz="4" w:val="single"/>
              <w:bottom w:color="000000" w:sz="4" w:val="single"/>
              <w:right w:color="000000" w:sz="4" w:val="single"/>
            </w:tcBorders>
          </w:tcPr>
          <w:p w14:paraId="AE040000">
            <w:pPr>
              <w:rPr>
                <w:rFonts w:ascii="Times New Roman" w:hAnsi="Times New Roman"/>
                <w:color w:val="000000"/>
              </w:rPr>
            </w:pPr>
            <w:r>
              <w:rPr>
                <w:rFonts w:ascii="Times New Roman" w:hAnsi="Times New Roman"/>
              </w:rPr>
              <w:t xml:space="preserve">Раздел 2. </w:t>
            </w:r>
            <w:r>
              <w:rPr>
                <w:rFonts w:ascii="Times New Roman" w:hAnsi="Times New Roman"/>
                <w:color w:val="000000"/>
              </w:rPr>
              <w:t>Технология составления бухгалтерской отчетности</w:t>
            </w:r>
          </w:p>
          <w:p w14:paraId="AF040000">
            <w:pPr>
              <w:rPr>
                <w:rFonts w:ascii="Times New Roman" w:hAnsi="Times New Roman"/>
              </w:rPr>
            </w:pPr>
          </w:p>
        </w:tc>
        <w:tc>
          <w:tcPr>
            <w:tcW w:type="dxa" w:w="849"/>
            <w:tcBorders>
              <w:top w:color="000000" w:sz="4" w:val="single"/>
              <w:left w:color="000000" w:sz="4" w:val="single"/>
              <w:bottom w:color="000000" w:sz="4" w:val="single"/>
              <w:right w:color="000000" w:sz="4" w:val="single"/>
            </w:tcBorders>
            <w:vAlign w:val="center"/>
          </w:tcPr>
          <w:p w14:paraId="B0040000">
            <w:pPr>
              <w:ind/>
              <w:jc w:val="center"/>
              <w:rPr>
                <w:rFonts w:ascii="Times New Roman" w:hAnsi="Times New Roman"/>
                <w:b w:val="1"/>
              </w:rPr>
            </w:pPr>
            <w:r>
              <w:rPr>
                <w:rFonts w:ascii="Times New Roman" w:hAnsi="Times New Roman"/>
                <w:color w:val="000000"/>
              </w:rPr>
              <w:t>48</w:t>
            </w:r>
          </w:p>
        </w:tc>
        <w:tc>
          <w:tcPr>
            <w:tcW w:type="dxa" w:w="567"/>
            <w:tcBorders>
              <w:top w:color="000000" w:sz="4" w:val="single"/>
              <w:left w:color="000000" w:sz="4" w:val="single"/>
              <w:bottom w:color="000000" w:sz="4" w:val="single"/>
              <w:right w:color="000000" w:sz="4" w:val="single"/>
            </w:tcBorders>
            <w:vAlign w:val="center"/>
          </w:tcPr>
          <w:p w14:paraId="B1040000">
            <w:pPr>
              <w:ind/>
              <w:jc w:val="center"/>
              <w:rPr>
                <w:rFonts w:ascii="Times New Roman" w:hAnsi="Times New Roman"/>
                <w:b w:val="1"/>
              </w:rPr>
            </w:pPr>
            <w:r>
              <w:rPr>
                <w:rFonts w:ascii="Times New Roman" w:hAnsi="Times New Roman"/>
                <w:color w:val="000000"/>
              </w:rPr>
              <w:t>24</w:t>
            </w:r>
          </w:p>
        </w:tc>
        <w:tc>
          <w:tcPr>
            <w:tcW w:type="dxa" w:w="636"/>
            <w:tcBorders>
              <w:top w:color="000000" w:sz="4" w:val="single"/>
              <w:left w:color="000000" w:sz="4" w:val="single"/>
              <w:bottom w:color="000000" w:sz="4" w:val="single"/>
              <w:right w:color="000000" w:sz="4" w:val="single"/>
            </w:tcBorders>
            <w:shd w:themeFill="background1" w:themeFillShade="D9" w:val="clear"/>
            <w:vAlign w:val="center"/>
          </w:tcPr>
          <w:p w14:paraId="B2040000">
            <w:pPr>
              <w:ind/>
              <w:jc w:val="center"/>
              <w:rPr>
                <w:rFonts w:ascii="Times New Roman" w:hAnsi="Times New Roman"/>
                <w:b w:val="1"/>
              </w:rPr>
            </w:pPr>
            <w:r>
              <w:rPr>
                <w:rFonts w:ascii="Times New Roman" w:hAnsi="Times New Roman"/>
                <w:color w:val="000000"/>
              </w:rPr>
              <w:t>48</w:t>
            </w:r>
          </w:p>
        </w:tc>
        <w:tc>
          <w:tcPr>
            <w:tcW w:type="dxa" w:w="563"/>
            <w:tcBorders>
              <w:top w:color="000000" w:sz="4" w:val="single"/>
              <w:left w:color="000000" w:sz="4" w:val="single"/>
              <w:bottom w:color="000000" w:sz="4" w:val="single"/>
              <w:right w:color="000000" w:sz="4" w:val="single"/>
            </w:tcBorders>
            <w:vAlign w:val="center"/>
          </w:tcPr>
          <w:p w14:paraId="B3040000">
            <w:pPr>
              <w:ind/>
              <w:jc w:val="center"/>
              <w:rPr>
                <w:rFonts w:ascii="Times New Roman" w:hAnsi="Times New Roman"/>
                <w:b w:val="1"/>
              </w:rPr>
            </w:pPr>
            <w:r>
              <w:rPr>
                <w:rFonts w:ascii="Times New Roman" w:hAnsi="Times New Roman"/>
                <w:color w:val="000000"/>
              </w:rPr>
              <w:t>48</w:t>
            </w:r>
          </w:p>
        </w:tc>
        <w:tc>
          <w:tcPr>
            <w:tcW w:type="dxa" w:w="421"/>
            <w:tcBorders>
              <w:top w:color="000000" w:sz="4" w:val="single"/>
              <w:left w:color="000000" w:sz="4" w:val="single"/>
              <w:bottom w:color="000000" w:sz="4" w:val="single"/>
              <w:right w:color="000000" w:sz="4" w:val="single"/>
            </w:tcBorders>
          </w:tcPr>
          <w:p w14:paraId="B4040000">
            <w:pPr>
              <w:ind/>
              <w:jc w:val="center"/>
              <w:rPr>
                <w:rFonts w:ascii="Times New Roman" w:hAnsi="Times New Roman"/>
                <w:b w:val="1"/>
              </w:rPr>
            </w:pPr>
            <w:r>
              <w:rPr>
                <w:rFonts w:ascii="Times New Roman" w:hAnsi="Times New Roman"/>
              </w:rPr>
              <w:t>х</w:t>
            </w:r>
          </w:p>
        </w:tc>
        <w:tc>
          <w:tcPr>
            <w:tcW w:type="dxa" w:w="479"/>
            <w:tcBorders>
              <w:top w:color="000000" w:sz="4" w:val="single"/>
              <w:left w:color="000000" w:sz="4" w:val="single"/>
              <w:bottom w:color="000000" w:sz="4" w:val="single"/>
              <w:right w:color="000000" w:sz="4" w:val="single"/>
            </w:tcBorders>
          </w:tcPr>
          <w:p w14:paraId="B5040000">
            <w:pPr>
              <w:ind/>
              <w:jc w:val="center"/>
              <w:rPr>
                <w:rFonts w:ascii="Times New Roman" w:hAnsi="Times New Roman"/>
                <w:b w:val="1"/>
              </w:rPr>
            </w:pPr>
            <w:r>
              <w:rPr>
                <w:rFonts w:ascii="Times New Roman" w:hAnsi="Times New Roman"/>
                <w:b w:val="1"/>
              </w:rPr>
              <w:t>-</w:t>
            </w:r>
          </w:p>
        </w:tc>
        <w:tc>
          <w:tcPr>
            <w:tcW w:type="dxa" w:w="453"/>
            <w:tcBorders>
              <w:top w:color="000000" w:sz="4" w:val="single"/>
              <w:left w:color="000000" w:sz="4" w:val="single"/>
              <w:bottom w:color="000000" w:sz="4" w:val="single"/>
              <w:right w:color="000000" w:sz="4" w:val="single"/>
            </w:tcBorders>
            <w:shd w:themeFill="background1" w:themeFillShade="D9" w:val="clear"/>
          </w:tcPr>
          <w:p w14:paraId="B6040000">
            <w:pPr>
              <w:ind/>
              <w:jc w:val="center"/>
              <w:rPr>
                <w:rFonts w:ascii="Times New Roman" w:hAnsi="Times New Roman"/>
                <w:b w:val="1"/>
              </w:rPr>
            </w:pPr>
          </w:p>
        </w:tc>
        <w:tc>
          <w:tcPr>
            <w:tcW w:type="dxa" w:w="565"/>
            <w:tcBorders>
              <w:top w:color="000000" w:sz="4" w:val="single"/>
              <w:left w:color="000000" w:sz="4" w:val="single"/>
              <w:bottom w:color="000000" w:sz="4" w:val="single"/>
              <w:right w:color="000000" w:sz="4" w:val="single"/>
            </w:tcBorders>
            <w:shd w:themeFill="background1" w:themeFillShade="D9" w:val="clear"/>
          </w:tcPr>
          <w:p w14:paraId="B7040000">
            <w:pPr>
              <w:ind/>
              <w:jc w:val="center"/>
              <w:rPr>
                <w:rFonts w:ascii="Times New Roman" w:hAnsi="Times New Roman"/>
                <w:b w:val="1"/>
              </w:rPr>
            </w:pPr>
          </w:p>
        </w:tc>
      </w:tr>
      <w:tr>
        <w:trPr>
          <w:trHeight w:hRule="atLeast" w:val="314"/>
        </w:trPr>
        <w:tc>
          <w:tcPr>
            <w:tcW w:type="dxa" w:w="841"/>
            <w:tcBorders>
              <w:top w:color="000000" w:sz="4" w:val="single"/>
              <w:left w:color="000000" w:sz="4" w:val="single"/>
              <w:bottom w:color="000000" w:sz="4" w:val="single"/>
              <w:right w:color="000000" w:sz="4" w:val="single"/>
            </w:tcBorders>
          </w:tcPr>
          <w:p w14:paraId="B8040000">
            <w:pPr>
              <w:rPr>
                <w:rFonts w:ascii="Times New Roman" w:hAnsi="Times New Roman"/>
                <w:sz w:val="16"/>
              </w:rPr>
            </w:pPr>
            <w:r>
              <w:rPr>
                <w:rFonts w:ascii="Times New Roman" w:hAnsi="Times New Roman"/>
                <w:sz w:val="16"/>
              </w:rPr>
              <w:t>ОК 02</w:t>
            </w:r>
          </w:p>
          <w:p w14:paraId="B9040000">
            <w:pPr>
              <w:rPr>
                <w:rFonts w:ascii="Times New Roman" w:hAnsi="Times New Roman"/>
                <w:sz w:val="16"/>
              </w:rPr>
            </w:pPr>
            <w:r>
              <w:rPr>
                <w:rFonts w:ascii="Times New Roman" w:hAnsi="Times New Roman"/>
                <w:sz w:val="16"/>
              </w:rPr>
              <w:t>ПК 2.4</w:t>
            </w:r>
          </w:p>
          <w:p w14:paraId="BA040000">
            <w:pPr>
              <w:rPr>
                <w:rFonts w:ascii="Times New Roman" w:hAnsi="Times New Roman"/>
                <w:sz w:val="16"/>
              </w:rPr>
            </w:pPr>
            <w:r>
              <w:rPr>
                <w:rFonts w:ascii="Times New Roman" w:hAnsi="Times New Roman"/>
                <w:sz w:val="16"/>
              </w:rPr>
              <w:t>ПК 2.5</w:t>
            </w:r>
          </w:p>
        </w:tc>
        <w:tc>
          <w:tcPr>
            <w:tcW w:type="dxa" w:w="3977"/>
            <w:tcBorders>
              <w:top w:color="000000" w:sz="4" w:val="single"/>
              <w:left w:color="000000" w:sz="4" w:val="single"/>
              <w:bottom w:color="000000" w:sz="4" w:val="single"/>
              <w:right w:color="000000" w:sz="4" w:val="single"/>
            </w:tcBorders>
          </w:tcPr>
          <w:p w14:paraId="BB040000">
            <w:pPr>
              <w:rPr>
                <w:rFonts w:ascii="Times New Roman" w:hAnsi="Times New Roman"/>
                <w:color w:val="000000"/>
              </w:rPr>
            </w:pPr>
            <w:r>
              <w:rPr>
                <w:rFonts w:ascii="Times New Roman" w:hAnsi="Times New Roman"/>
              </w:rPr>
              <w:t>Раздел 3.</w:t>
            </w:r>
            <w:r>
              <w:rPr>
                <w:rFonts w:ascii="Times New Roman" w:hAnsi="Times New Roman"/>
              </w:rPr>
              <w:t xml:space="preserve"> </w:t>
            </w:r>
            <w:r>
              <w:rPr>
                <w:rFonts w:ascii="Times New Roman" w:hAnsi="Times New Roman"/>
                <w:color w:val="000000"/>
              </w:rPr>
              <w:t>Основы анализа бухгалтерской отчетности</w:t>
            </w:r>
          </w:p>
          <w:p w14:paraId="BC040000">
            <w:pPr>
              <w:rPr>
                <w:rFonts w:ascii="Times New Roman" w:hAnsi="Times New Roman"/>
              </w:rPr>
            </w:pPr>
          </w:p>
        </w:tc>
        <w:tc>
          <w:tcPr>
            <w:tcW w:type="dxa" w:w="849"/>
            <w:tcBorders>
              <w:top w:color="000000" w:sz="4" w:val="single"/>
              <w:left w:color="000000" w:sz="4" w:val="single"/>
              <w:bottom w:color="000000" w:sz="4" w:val="single"/>
              <w:right w:color="000000" w:sz="4" w:val="single"/>
            </w:tcBorders>
            <w:vAlign w:val="center"/>
          </w:tcPr>
          <w:p w14:paraId="BD040000">
            <w:pPr>
              <w:ind/>
              <w:jc w:val="center"/>
              <w:rPr>
                <w:rFonts w:ascii="Times New Roman" w:hAnsi="Times New Roman"/>
                <w:color w:val="000000"/>
              </w:rPr>
            </w:pPr>
            <w:r>
              <w:rPr>
                <w:rFonts w:ascii="Times New Roman" w:hAnsi="Times New Roman"/>
                <w:color w:val="000000"/>
              </w:rPr>
              <w:t>48</w:t>
            </w:r>
          </w:p>
        </w:tc>
        <w:tc>
          <w:tcPr>
            <w:tcW w:type="dxa" w:w="567"/>
            <w:tcBorders>
              <w:top w:color="000000" w:sz="4" w:val="single"/>
              <w:left w:color="000000" w:sz="4" w:val="single"/>
              <w:bottom w:color="000000" w:sz="4" w:val="single"/>
              <w:right w:color="000000" w:sz="4" w:val="single"/>
            </w:tcBorders>
            <w:vAlign w:val="center"/>
          </w:tcPr>
          <w:p w14:paraId="BE040000">
            <w:pPr>
              <w:ind/>
              <w:jc w:val="center"/>
              <w:rPr>
                <w:rFonts w:ascii="Times New Roman" w:hAnsi="Times New Roman"/>
                <w:color w:val="000000"/>
              </w:rPr>
            </w:pPr>
            <w:r>
              <w:rPr>
                <w:rFonts w:ascii="Times New Roman" w:hAnsi="Times New Roman"/>
                <w:color w:val="000000"/>
              </w:rPr>
              <w:t>24</w:t>
            </w:r>
          </w:p>
        </w:tc>
        <w:tc>
          <w:tcPr>
            <w:tcW w:type="dxa" w:w="636"/>
            <w:tcBorders>
              <w:top w:color="000000" w:sz="4" w:val="single"/>
              <w:left w:color="000000" w:sz="4" w:val="single"/>
              <w:bottom w:color="000000" w:sz="4" w:val="single"/>
              <w:right w:color="000000" w:sz="4" w:val="single"/>
            </w:tcBorders>
            <w:shd w:themeFill="background1" w:themeFillShade="D9" w:val="clear"/>
            <w:vAlign w:val="center"/>
          </w:tcPr>
          <w:p w14:paraId="BF040000">
            <w:pPr>
              <w:ind/>
              <w:jc w:val="center"/>
              <w:rPr>
                <w:rFonts w:ascii="Times New Roman" w:hAnsi="Times New Roman"/>
                <w:color w:val="000000"/>
              </w:rPr>
            </w:pPr>
            <w:r>
              <w:rPr>
                <w:rFonts w:ascii="Times New Roman" w:hAnsi="Times New Roman"/>
                <w:color w:val="000000"/>
              </w:rPr>
              <w:t>48</w:t>
            </w:r>
          </w:p>
        </w:tc>
        <w:tc>
          <w:tcPr>
            <w:tcW w:type="dxa" w:w="563"/>
            <w:tcBorders>
              <w:top w:color="000000" w:sz="4" w:val="single"/>
              <w:left w:color="000000" w:sz="4" w:val="single"/>
              <w:bottom w:color="000000" w:sz="4" w:val="single"/>
              <w:right w:color="000000" w:sz="4" w:val="single"/>
            </w:tcBorders>
            <w:vAlign w:val="center"/>
          </w:tcPr>
          <w:p w14:paraId="C0040000">
            <w:pPr>
              <w:ind/>
              <w:jc w:val="center"/>
              <w:rPr>
                <w:rFonts w:ascii="Times New Roman" w:hAnsi="Times New Roman"/>
              </w:rPr>
            </w:pPr>
            <w:r>
              <w:rPr>
                <w:rFonts w:ascii="Times New Roman" w:hAnsi="Times New Roman"/>
                <w:color w:val="000000"/>
              </w:rPr>
              <w:t>48</w:t>
            </w:r>
          </w:p>
        </w:tc>
        <w:tc>
          <w:tcPr>
            <w:tcW w:type="dxa" w:w="421"/>
            <w:tcBorders>
              <w:top w:color="000000" w:sz="4" w:val="single"/>
              <w:left w:color="000000" w:sz="4" w:val="single"/>
              <w:bottom w:color="000000" w:sz="4" w:val="single"/>
              <w:right w:color="000000" w:sz="4" w:val="single"/>
            </w:tcBorders>
          </w:tcPr>
          <w:p w14:paraId="C1040000">
            <w:pPr>
              <w:ind/>
              <w:jc w:val="center"/>
              <w:rPr>
                <w:rFonts w:ascii="Times New Roman" w:hAnsi="Times New Roman"/>
              </w:rPr>
            </w:pPr>
            <w:r>
              <w:rPr>
                <w:rFonts w:ascii="Times New Roman" w:hAnsi="Times New Roman"/>
              </w:rPr>
              <w:t>х</w:t>
            </w:r>
          </w:p>
        </w:tc>
        <w:tc>
          <w:tcPr>
            <w:tcW w:type="dxa" w:w="479"/>
            <w:tcBorders>
              <w:top w:color="000000" w:sz="4" w:val="single"/>
              <w:left w:color="000000" w:sz="4" w:val="single"/>
              <w:bottom w:color="000000" w:sz="4" w:val="single"/>
              <w:right w:color="000000" w:sz="4" w:val="single"/>
            </w:tcBorders>
          </w:tcPr>
          <w:p w14:paraId="C2040000">
            <w:pPr>
              <w:ind/>
              <w:jc w:val="center"/>
              <w:rPr>
                <w:rFonts w:ascii="Times New Roman" w:hAnsi="Times New Roman"/>
                <w:b w:val="1"/>
              </w:rPr>
            </w:pPr>
            <w:r>
              <w:rPr>
                <w:rFonts w:ascii="Times New Roman" w:hAnsi="Times New Roman"/>
                <w:b w:val="1"/>
              </w:rPr>
              <w:t>-</w:t>
            </w:r>
          </w:p>
        </w:tc>
        <w:tc>
          <w:tcPr>
            <w:tcW w:type="dxa" w:w="453"/>
            <w:tcBorders>
              <w:top w:color="000000" w:sz="4" w:val="single"/>
              <w:left w:color="000000" w:sz="4" w:val="single"/>
              <w:bottom w:color="000000" w:sz="4" w:val="single"/>
              <w:right w:color="000000" w:sz="4" w:val="single"/>
            </w:tcBorders>
            <w:shd w:themeFill="background1" w:themeFillShade="D9" w:val="clear"/>
          </w:tcPr>
          <w:p w14:paraId="C3040000">
            <w:pPr>
              <w:ind/>
              <w:jc w:val="center"/>
              <w:rPr>
                <w:rFonts w:ascii="Times New Roman" w:hAnsi="Times New Roman"/>
                <w:b w:val="1"/>
              </w:rPr>
            </w:pPr>
          </w:p>
        </w:tc>
        <w:tc>
          <w:tcPr>
            <w:tcW w:type="dxa" w:w="565"/>
            <w:tcBorders>
              <w:top w:color="000000" w:sz="4" w:val="single"/>
              <w:left w:color="000000" w:sz="4" w:val="single"/>
              <w:bottom w:color="000000" w:sz="4" w:val="single"/>
              <w:right w:color="000000" w:sz="4" w:val="single"/>
            </w:tcBorders>
            <w:shd w:themeFill="background1" w:themeFillShade="D9" w:val="clear"/>
          </w:tcPr>
          <w:p w14:paraId="C4040000">
            <w:pPr>
              <w:ind/>
              <w:jc w:val="center"/>
              <w:rPr>
                <w:rFonts w:ascii="Times New Roman" w:hAnsi="Times New Roman"/>
                <w:b w:val="1"/>
              </w:rPr>
            </w:pPr>
          </w:p>
        </w:tc>
      </w:tr>
      <w:tr>
        <w:trPr>
          <w:trHeight w:hRule="atLeast" w:val="314"/>
        </w:trPr>
        <w:tc>
          <w:tcPr>
            <w:tcW w:type="dxa" w:w="841"/>
            <w:vMerge w:val="restart"/>
            <w:tcBorders>
              <w:top w:color="000000" w:sz="4" w:val="single"/>
              <w:left w:color="000000" w:sz="4" w:val="single"/>
              <w:bottom w:color="000000" w:sz="4" w:val="single"/>
              <w:right w:color="000000" w:sz="4" w:val="single"/>
            </w:tcBorders>
          </w:tcPr>
          <w:p w14:paraId="C5040000">
            <w:pPr>
              <w:rPr>
                <w:rFonts w:ascii="Times New Roman" w:hAnsi="Times New Roman"/>
                <w:sz w:val="16"/>
              </w:rPr>
            </w:pPr>
            <w:r>
              <w:rPr>
                <w:rFonts w:ascii="Times New Roman" w:hAnsi="Times New Roman"/>
                <w:sz w:val="16"/>
              </w:rPr>
              <w:t>ОК 02</w:t>
            </w:r>
          </w:p>
          <w:p w14:paraId="C6040000">
            <w:pPr>
              <w:rPr>
                <w:rFonts w:ascii="Times New Roman" w:hAnsi="Times New Roman"/>
                <w:sz w:val="16"/>
              </w:rPr>
            </w:pPr>
            <w:r>
              <w:rPr>
                <w:rFonts w:ascii="Times New Roman" w:hAnsi="Times New Roman"/>
                <w:sz w:val="16"/>
              </w:rPr>
              <w:t>ПК 2.1</w:t>
            </w:r>
          </w:p>
          <w:p w14:paraId="C7040000">
            <w:pPr>
              <w:rPr>
                <w:rFonts w:ascii="Times New Roman" w:hAnsi="Times New Roman"/>
                <w:sz w:val="16"/>
              </w:rPr>
            </w:pPr>
            <w:r>
              <w:rPr>
                <w:rFonts w:ascii="Times New Roman" w:hAnsi="Times New Roman"/>
                <w:sz w:val="16"/>
              </w:rPr>
              <w:t>ПК 2.1</w:t>
            </w:r>
          </w:p>
          <w:p w14:paraId="C8040000">
            <w:pPr>
              <w:rPr>
                <w:rFonts w:ascii="Times New Roman" w:hAnsi="Times New Roman"/>
                <w:sz w:val="16"/>
              </w:rPr>
            </w:pPr>
            <w:r>
              <w:rPr>
                <w:rFonts w:ascii="Times New Roman" w:hAnsi="Times New Roman"/>
                <w:sz w:val="16"/>
              </w:rPr>
              <w:t>ПК 2.3</w:t>
            </w:r>
          </w:p>
          <w:p w14:paraId="C9040000">
            <w:pPr>
              <w:rPr>
                <w:rFonts w:ascii="Times New Roman" w:hAnsi="Times New Roman"/>
                <w:sz w:val="16"/>
              </w:rPr>
            </w:pPr>
            <w:r>
              <w:rPr>
                <w:rFonts w:ascii="Times New Roman" w:hAnsi="Times New Roman"/>
                <w:sz w:val="16"/>
              </w:rPr>
              <w:t>ПК 2.4</w:t>
            </w:r>
          </w:p>
          <w:p w14:paraId="CA040000">
            <w:pPr>
              <w:rPr>
                <w:rFonts w:ascii="Times New Roman" w:hAnsi="Times New Roman"/>
                <w:sz w:val="16"/>
              </w:rPr>
            </w:pPr>
            <w:r>
              <w:rPr>
                <w:rFonts w:ascii="Times New Roman" w:hAnsi="Times New Roman"/>
                <w:sz w:val="16"/>
              </w:rPr>
              <w:t>ПК 2.5</w:t>
            </w:r>
          </w:p>
        </w:tc>
        <w:tc>
          <w:tcPr>
            <w:tcW w:type="dxa" w:w="3977"/>
            <w:tcBorders>
              <w:top w:color="000000" w:sz="4" w:val="single"/>
              <w:left w:color="000000" w:sz="4" w:val="single"/>
              <w:bottom w:color="000000" w:sz="4" w:val="single"/>
              <w:right w:color="000000" w:sz="4" w:val="single"/>
            </w:tcBorders>
          </w:tcPr>
          <w:p w14:paraId="CB040000">
            <w:pPr>
              <w:rPr>
                <w:rFonts w:ascii="Times New Roman" w:hAnsi="Times New Roman"/>
              </w:rPr>
            </w:pPr>
            <w:r>
              <w:rPr>
                <w:rFonts w:ascii="Times New Roman" w:hAnsi="Times New Roman"/>
              </w:rPr>
              <w:t>Учебная практика</w:t>
            </w:r>
          </w:p>
        </w:tc>
        <w:tc>
          <w:tcPr>
            <w:tcW w:type="dxa" w:w="849"/>
            <w:tcBorders>
              <w:top w:color="000000" w:sz="4" w:val="single"/>
              <w:left w:color="000000" w:sz="4" w:val="single"/>
              <w:bottom w:color="000000" w:sz="4" w:val="single"/>
              <w:right w:color="000000" w:sz="4" w:val="single"/>
            </w:tcBorders>
            <w:vAlign w:val="center"/>
          </w:tcPr>
          <w:p w14:paraId="CC040000">
            <w:pPr>
              <w:ind/>
              <w:jc w:val="center"/>
              <w:rPr>
                <w:rFonts w:ascii="Times New Roman" w:hAnsi="Times New Roman"/>
                <w:b w:val="1"/>
              </w:rPr>
            </w:pPr>
            <w:r>
              <w:rPr>
                <w:rFonts w:ascii="Times New Roman" w:hAnsi="Times New Roman"/>
                <w:color w:val="000000"/>
              </w:rPr>
              <w:t>36</w:t>
            </w:r>
          </w:p>
        </w:tc>
        <w:tc>
          <w:tcPr>
            <w:tcW w:type="dxa" w:w="567"/>
            <w:tcBorders>
              <w:top w:color="000000" w:sz="4" w:val="single"/>
              <w:left w:color="000000" w:sz="4" w:val="single"/>
              <w:bottom w:color="000000" w:sz="4" w:val="single"/>
              <w:right w:color="000000" w:sz="4" w:val="single"/>
            </w:tcBorders>
            <w:vAlign w:val="center"/>
          </w:tcPr>
          <w:p w14:paraId="CD040000">
            <w:pPr>
              <w:ind/>
              <w:jc w:val="center"/>
              <w:rPr>
                <w:rFonts w:ascii="Times New Roman" w:hAnsi="Times New Roman"/>
                <w:b w:val="1"/>
              </w:rPr>
            </w:pPr>
            <w:r>
              <w:rPr>
                <w:rFonts w:ascii="Times New Roman" w:hAnsi="Times New Roman"/>
                <w:color w:val="000000"/>
              </w:rPr>
              <w:t>36</w:t>
            </w:r>
          </w:p>
        </w:tc>
        <w:tc>
          <w:tcPr>
            <w:tcW w:type="dxa" w:w="636"/>
            <w:tcBorders>
              <w:top w:color="000000" w:sz="4" w:val="single"/>
              <w:left w:color="000000" w:sz="4" w:val="single"/>
              <w:bottom w:color="000000" w:sz="4" w:val="single"/>
              <w:right w:color="000000" w:sz="4" w:val="single"/>
            </w:tcBorders>
            <w:shd w:themeFill="background1" w:themeFillShade="D9" w:val="clear"/>
          </w:tcPr>
          <w:p w14:paraId="CE040000">
            <w:pPr>
              <w:ind/>
              <w:jc w:val="center"/>
              <w:rPr>
                <w:rFonts w:ascii="Times New Roman" w:hAnsi="Times New Roman"/>
                <w:b w:val="1"/>
              </w:rPr>
            </w:pPr>
          </w:p>
        </w:tc>
        <w:tc>
          <w:tcPr>
            <w:tcW w:type="dxa" w:w="1463"/>
            <w:gridSpan w:val="3"/>
            <w:tcBorders>
              <w:top w:color="000000" w:sz="4" w:val="single"/>
              <w:left w:color="000000" w:sz="4" w:val="single"/>
              <w:bottom w:color="000000" w:sz="4" w:val="single"/>
              <w:right w:color="000000" w:sz="4" w:val="single"/>
            </w:tcBorders>
            <w:shd w:fill="auto" w:val="clear"/>
          </w:tcPr>
          <w:p w14:paraId="CF040000">
            <w:pPr>
              <w:ind/>
              <w:jc w:val="center"/>
              <w:rPr>
                <w:rFonts w:ascii="Times New Roman" w:hAnsi="Times New Roman"/>
                <w:b w:val="1"/>
              </w:rPr>
            </w:pPr>
          </w:p>
        </w:tc>
        <w:tc>
          <w:tcPr>
            <w:tcW w:type="dxa" w:w="453"/>
            <w:tcBorders>
              <w:top w:color="000000" w:sz="4" w:val="single"/>
              <w:left w:color="000000" w:sz="4" w:val="single"/>
              <w:bottom w:color="000000" w:sz="4" w:val="single"/>
              <w:right w:color="000000" w:sz="4" w:val="single"/>
            </w:tcBorders>
            <w:shd w:themeFill="background1" w:themeFillShade="D9" w:val="clear"/>
          </w:tcPr>
          <w:p w14:paraId="D0040000">
            <w:pPr>
              <w:ind/>
              <w:jc w:val="center"/>
              <w:rPr>
                <w:rFonts w:ascii="Times New Roman" w:hAnsi="Times New Roman"/>
                <w:b w:val="1"/>
              </w:rPr>
            </w:pPr>
            <w:r>
              <w:rPr>
                <w:rFonts w:ascii="Times New Roman" w:hAnsi="Times New Roman"/>
                <w:b w:val="1"/>
              </w:rPr>
              <w:t>36</w:t>
            </w:r>
          </w:p>
        </w:tc>
        <w:tc>
          <w:tcPr>
            <w:tcW w:type="dxa" w:w="565"/>
            <w:tcBorders>
              <w:top w:color="000000" w:sz="4" w:val="single"/>
              <w:left w:color="000000" w:sz="4" w:val="single"/>
              <w:bottom w:color="000000" w:sz="4" w:val="single"/>
              <w:right w:color="000000" w:sz="4" w:val="single"/>
            </w:tcBorders>
            <w:shd w:themeFill="background1" w:themeFillShade="D9" w:val="clear"/>
          </w:tcPr>
          <w:p w14:paraId="D1040000">
            <w:pPr>
              <w:ind/>
              <w:jc w:val="center"/>
              <w:rPr>
                <w:rFonts w:ascii="Times New Roman" w:hAnsi="Times New Roman"/>
                <w:b w:val="1"/>
              </w:rPr>
            </w:pPr>
          </w:p>
        </w:tc>
      </w:tr>
      <w:tr>
        <w:trPr>
          <w:trHeight w:hRule="atLeast" w:val="314"/>
        </w:trPr>
        <w:tc>
          <w:tcPr>
            <w:tcW w:type="dxa" w:w="841"/>
            <w:gridSpan w:val="1"/>
            <w:vMerge w:val="continue"/>
            <w:tcBorders>
              <w:top w:color="000000" w:sz="4" w:val="single"/>
              <w:left w:color="000000" w:sz="4" w:val="single"/>
              <w:bottom w:color="000000" w:sz="4" w:val="single"/>
              <w:right w:color="000000" w:sz="4" w:val="single"/>
            </w:tcBorders>
          </w:tcPr>
          <w:p/>
        </w:tc>
        <w:tc>
          <w:tcPr>
            <w:tcW w:type="dxa" w:w="3977"/>
            <w:tcBorders>
              <w:top w:color="000000" w:sz="4" w:val="single"/>
              <w:left w:color="000000" w:sz="4" w:val="single"/>
              <w:bottom w:color="000000" w:sz="4" w:val="single"/>
              <w:right w:color="000000" w:sz="4" w:val="single"/>
            </w:tcBorders>
          </w:tcPr>
          <w:p w14:paraId="D2040000">
            <w:pPr>
              <w:rPr>
                <w:rFonts w:ascii="Times New Roman" w:hAnsi="Times New Roman"/>
                <w:b w:val="1"/>
                <w:u w:val="single"/>
              </w:rPr>
            </w:pPr>
            <w:r>
              <w:rPr>
                <w:rFonts w:ascii="Times New Roman" w:hAnsi="Times New Roman"/>
              </w:rPr>
              <w:t>Производственная практика</w:t>
            </w:r>
          </w:p>
        </w:tc>
        <w:tc>
          <w:tcPr>
            <w:tcW w:type="dxa" w:w="849"/>
            <w:tcBorders>
              <w:top w:color="000000" w:sz="4" w:val="single"/>
              <w:left w:color="000000" w:sz="4" w:val="single"/>
              <w:bottom w:color="000000" w:sz="4" w:val="single"/>
              <w:right w:color="000000" w:sz="4" w:val="single"/>
            </w:tcBorders>
            <w:vAlign w:val="center"/>
          </w:tcPr>
          <w:p w14:paraId="D3040000">
            <w:pPr>
              <w:ind/>
              <w:jc w:val="center"/>
              <w:rPr>
                <w:rFonts w:ascii="Times New Roman" w:hAnsi="Times New Roman"/>
                <w:b w:val="1"/>
              </w:rPr>
            </w:pPr>
            <w:r>
              <w:rPr>
                <w:rFonts w:ascii="Times New Roman" w:hAnsi="Times New Roman"/>
                <w:color w:val="000000"/>
              </w:rPr>
              <w:t>72</w:t>
            </w:r>
          </w:p>
        </w:tc>
        <w:tc>
          <w:tcPr>
            <w:tcW w:type="dxa" w:w="567"/>
            <w:tcBorders>
              <w:top w:color="000000" w:sz="4" w:val="single"/>
              <w:left w:color="000000" w:sz="4" w:val="single"/>
              <w:bottom w:color="000000" w:sz="4" w:val="single"/>
              <w:right w:color="000000" w:sz="4" w:val="single"/>
            </w:tcBorders>
            <w:vAlign w:val="center"/>
          </w:tcPr>
          <w:p w14:paraId="D4040000">
            <w:pPr>
              <w:ind/>
              <w:jc w:val="center"/>
              <w:rPr>
                <w:rFonts w:ascii="Times New Roman" w:hAnsi="Times New Roman"/>
                <w:b w:val="1"/>
              </w:rPr>
            </w:pPr>
            <w:r>
              <w:rPr>
                <w:rFonts w:ascii="Times New Roman" w:hAnsi="Times New Roman"/>
                <w:color w:val="000000"/>
              </w:rPr>
              <w:t>72</w:t>
            </w:r>
          </w:p>
        </w:tc>
        <w:tc>
          <w:tcPr>
            <w:tcW w:type="dxa" w:w="636"/>
            <w:tcBorders>
              <w:top w:color="000000" w:sz="4" w:val="single"/>
              <w:left w:color="000000" w:sz="4" w:val="single"/>
              <w:bottom w:color="000000" w:sz="4" w:val="single"/>
              <w:right w:color="000000" w:sz="4" w:val="single"/>
            </w:tcBorders>
            <w:shd w:themeFill="background1" w:themeFillShade="D9" w:val="clear"/>
          </w:tcPr>
          <w:p w14:paraId="D5040000">
            <w:pPr>
              <w:ind/>
              <w:jc w:val="center"/>
              <w:rPr>
                <w:rFonts w:ascii="Times New Roman" w:hAnsi="Times New Roman"/>
                <w:b w:val="1"/>
              </w:rPr>
            </w:pPr>
          </w:p>
        </w:tc>
        <w:tc>
          <w:tcPr>
            <w:tcW w:type="dxa" w:w="1463"/>
            <w:gridSpan w:val="3"/>
            <w:tcBorders>
              <w:top w:color="000000" w:sz="4" w:val="single"/>
              <w:left w:color="000000" w:sz="4" w:val="single"/>
              <w:bottom w:color="000000" w:sz="4" w:val="single"/>
              <w:right w:color="000000" w:sz="4" w:val="single"/>
            </w:tcBorders>
            <w:shd w:fill="auto" w:val="clear"/>
          </w:tcPr>
          <w:p w14:paraId="D6040000">
            <w:pPr>
              <w:ind/>
              <w:jc w:val="center"/>
              <w:rPr>
                <w:rFonts w:ascii="Times New Roman" w:hAnsi="Times New Roman"/>
                <w:b w:val="1"/>
              </w:rPr>
            </w:pPr>
          </w:p>
        </w:tc>
        <w:tc>
          <w:tcPr>
            <w:tcW w:type="dxa" w:w="453"/>
            <w:tcBorders>
              <w:top w:color="000000" w:sz="4" w:val="single"/>
              <w:left w:color="000000" w:sz="4" w:val="single"/>
              <w:bottom w:color="000000" w:sz="4" w:val="single"/>
              <w:right w:color="000000" w:sz="4" w:val="single"/>
            </w:tcBorders>
            <w:shd w:themeFill="background1" w:themeFillShade="D9" w:val="clear"/>
          </w:tcPr>
          <w:p w14:paraId="D7040000">
            <w:pPr>
              <w:ind/>
              <w:jc w:val="center"/>
              <w:rPr>
                <w:rFonts w:ascii="Times New Roman" w:hAnsi="Times New Roman"/>
                <w:b w:val="1"/>
              </w:rPr>
            </w:pPr>
          </w:p>
        </w:tc>
        <w:tc>
          <w:tcPr>
            <w:tcW w:type="dxa" w:w="565"/>
            <w:tcBorders>
              <w:top w:color="000000" w:sz="4" w:val="single"/>
              <w:left w:color="000000" w:sz="4" w:val="single"/>
              <w:bottom w:color="000000" w:sz="4" w:val="single"/>
              <w:right w:color="000000" w:sz="4" w:val="single"/>
            </w:tcBorders>
            <w:shd w:themeFill="background1" w:themeFillShade="D9" w:val="clear"/>
          </w:tcPr>
          <w:p w14:paraId="D8040000">
            <w:pPr>
              <w:ind/>
              <w:jc w:val="center"/>
              <w:rPr>
                <w:rFonts w:ascii="Times New Roman" w:hAnsi="Times New Roman"/>
                <w:b w:val="1"/>
              </w:rPr>
            </w:pPr>
            <w:r>
              <w:rPr>
                <w:rFonts w:ascii="Times New Roman" w:hAnsi="Times New Roman"/>
                <w:b w:val="1"/>
              </w:rPr>
              <w:t>72</w:t>
            </w:r>
          </w:p>
        </w:tc>
      </w:tr>
      <w:tr>
        <w:tc>
          <w:tcPr>
            <w:tcW w:type="dxa" w:w="841"/>
            <w:tcBorders>
              <w:top w:color="000000" w:sz="4" w:val="single"/>
              <w:left w:color="000000" w:sz="4" w:val="single"/>
              <w:bottom w:color="000000" w:sz="4" w:val="single"/>
              <w:right w:color="000000" w:sz="4" w:val="single"/>
            </w:tcBorders>
          </w:tcPr>
          <w:p w14:paraId="D9040000">
            <w:pPr>
              <w:rPr>
                <w:rFonts w:ascii="Times New Roman" w:hAnsi="Times New Roman"/>
              </w:rPr>
            </w:pPr>
          </w:p>
        </w:tc>
        <w:tc>
          <w:tcPr>
            <w:tcW w:type="dxa" w:w="3977"/>
            <w:tcBorders>
              <w:top w:color="000000" w:sz="4" w:val="single"/>
              <w:left w:color="000000" w:sz="4" w:val="single"/>
              <w:bottom w:color="000000" w:sz="4" w:val="single"/>
              <w:right w:color="000000" w:sz="4" w:val="single"/>
            </w:tcBorders>
          </w:tcPr>
          <w:p w14:paraId="DA040000">
            <w:pPr>
              <w:rPr>
                <w:rFonts w:ascii="Times New Roman" w:hAnsi="Times New Roman"/>
              </w:rPr>
            </w:pPr>
            <w:r>
              <w:rPr>
                <w:rFonts w:ascii="Times New Roman" w:hAnsi="Times New Roman"/>
              </w:rPr>
              <w:t>Промежуточная аттестация</w:t>
            </w:r>
          </w:p>
        </w:tc>
        <w:tc>
          <w:tcPr>
            <w:tcW w:type="dxa" w:w="849"/>
            <w:tcBorders>
              <w:top w:color="000000" w:sz="4" w:val="single"/>
              <w:left w:color="000000" w:sz="4" w:val="single"/>
              <w:bottom w:color="000000" w:sz="4" w:val="single"/>
              <w:right w:color="000000" w:sz="4" w:val="single"/>
            </w:tcBorders>
          </w:tcPr>
          <w:p w14:paraId="DB040000">
            <w:pPr>
              <w:ind/>
              <w:jc w:val="center"/>
              <w:rPr>
                <w:rFonts w:ascii="Times New Roman" w:hAnsi="Times New Roman"/>
                <w:b w:val="1"/>
              </w:rPr>
            </w:pPr>
            <w:r>
              <w:rPr>
                <w:rFonts w:ascii="Times New Roman" w:hAnsi="Times New Roman"/>
                <w:b w:val="1"/>
              </w:rPr>
              <w:t>Х</w:t>
            </w:r>
          </w:p>
        </w:tc>
        <w:tc>
          <w:tcPr>
            <w:tcW w:type="dxa" w:w="567"/>
            <w:tcBorders>
              <w:top w:color="000000" w:sz="4" w:val="single"/>
              <w:left w:color="000000" w:sz="4" w:val="single"/>
              <w:bottom w:color="000000" w:sz="4" w:val="single"/>
              <w:right w:color="000000" w:sz="4" w:val="single"/>
            </w:tcBorders>
            <w:shd w:fill="auto" w:val="clear"/>
          </w:tcPr>
          <w:p w14:paraId="DC040000">
            <w:pPr>
              <w:ind/>
              <w:jc w:val="center"/>
              <w:rPr>
                <w:rFonts w:ascii="Times New Roman" w:hAnsi="Times New Roman"/>
                <w:b w:val="1"/>
              </w:rPr>
            </w:pPr>
          </w:p>
        </w:tc>
        <w:tc>
          <w:tcPr>
            <w:tcW w:type="dxa" w:w="636"/>
            <w:tcBorders>
              <w:top w:color="000000" w:sz="4" w:val="single"/>
              <w:left w:color="000000" w:sz="4" w:val="single"/>
              <w:bottom w:color="000000" w:sz="4" w:val="single"/>
              <w:right w:color="000000" w:sz="4" w:val="single"/>
            </w:tcBorders>
            <w:shd w:themeFill="background1" w:themeFillShade="D9" w:val="clear"/>
          </w:tcPr>
          <w:p w14:paraId="DD040000">
            <w:pPr>
              <w:ind/>
              <w:jc w:val="center"/>
              <w:rPr>
                <w:rFonts w:ascii="Times New Roman" w:hAnsi="Times New Roman"/>
                <w:i w:val="1"/>
              </w:rPr>
            </w:pPr>
          </w:p>
        </w:tc>
        <w:tc>
          <w:tcPr>
            <w:tcW w:type="dxa" w:w="1463"/>
            <w:gridSpan w:val="3"/>
            <w:tcBorders>
              <w:top w:color="000000" w:sz="4" w:val="single"/>
              <w:left w:color="000000" w:sz="4" w:val="single"/>
              <w:bottom w:color="000000" w:sz="4" w:val="single"/>
              <w:right w:color="000000" w:sz="4" w:val="single"/>
            </w:tcBorders>
            <w:shd w:fill="auto" w:val="clear"/>
          </w:tcPr>
          <w:p w14:paraId="DE040000">
            <w:pPr>
              <w:ind/>
              <w:jc w:val="center"/>
              <w:rPr>
                <w:rFonts w:ascii="Times New Roman" w:hAnsi="Times New Roman"/>
                <w:i w:val="1"/>
              </w:rPr>
            </w:pPr>
          </w:p>
        </w:tc>
        <w:tc>
          <w:tcPr>
            <w:tcW w:type="dxa" w:w="453"/>
            <w:tcBorders>
              <w:top w:color="000000" w:sz="4" w:val="single"/>
              <w:left w:color="000000" w:sz="4" w:val="single"/>
              <w:bottom w:color="000000" w:sz="4" w:val="single"/>
              <w:right w:color="000000" w:sz="4" w:val="single"/>
            </w:tcBorders>
            <w:shd w:themeFill="background1" w:themeFillShade="D9" w:val="clear"/>
          </w:tcPr>
          <w:p w14:paraId="DF040000">
            <w:pPr>
              <w:ind/>
              <w:jc w:val="center"/>
              <w:rPr>
                <w:rFonts w:ascii="Times New Roman" w:hAnsi="Times New Roman"/>
                <w:i w:val="1"/>
              </w:rPr>
            </w:pPr>
          </w:p>
        </w:tc>
        <w:tc>
          <w:tcPr>
            <w:tcW w:type="dxa" w:w="565"/>
            <w:tcBorders>
              <w:top w:color="000000" w:sz="4" w:val="single"/>
              <w:left w:color="000000" w:sz="4" w:val="single"/>
              <w:bottom w:color="000000" w:sz="4" w:val="single"/>
              <w:right w:color="000000" w:sz="4" w:val="single"/>
            </w:tcBorders>
            <w:shd w:themeFill="background1" w:themeFillShade="D9" w:val="clear"/>
          </w:tcPr>
          <w:p w14:paraId="E0040000">
            <w:pPr>
              <w:ind/>
              <w:jc w:val="center"/>
              <w:rPr>
                <w:rFonts w:ascii="Times New Roman" w:hAnsi="Times New Roman"/>
                <w:i w:val="1"/>
              </w:rPr>
            </w:pPr>
          </w:p>
        </w:tc>
      </w:tr>
      <w:tr>
        <w:trPr>
          <w:trHeight w:hRule="atLeast" w:val="217"/>
        </w:trPr>
        <w:tc>
          <w:tcPr>
            <w:tcW w:type="dxa" w:w="841"/>
            <w:tcBorders>
              <w:top w:color="000000" w:sz="4" w:val="single"/>
              <w:left w:color="000000" w:sz="4" w:val="single"/>
              <w:bottom w:color="000000" w:sz="4" w:val="single"/>
              <w:right w:color="000000" w:sz="4" w:val="single"/>
            </w:tcBorders>
          </w:tcPr>
          <w:p w14:paraId="E1040000">
            <w:pPr>
              <w:rPr>
                <w:rFonts w:ascii="Times New Roman" w:hAnsi="Times New Roman"/>
                <w:b w:val="1"/>
                <w:i w:val="1"/>
              </w:rPr>
            </w:pPr>
          </w:p>
        </w:tc>
        <w:tc>
          <w:tcPr>
            <w:tcW w:type="dxa" w:w="3977"/>
            <w:tcBorders>
              <w:top w:color="000000" w:sz="4" w:val="single"/>
              <w:left w:color="000000" w:sz="4" w:val="single"/>
              <w:bottom w:color="000000" w:sz="4" w:val="single"/>
              <w:right w:color="000000" w:sz="4" w:val="single"/>
            </w:tcBorders>
          </w:tcPr>
          <w:p w14:paraId="E2040000">
            <w:pPr>
              <w:rPr>
                <w:rFonts w:ascii="Times New Roman" w:hAnsi="Times New Roman"/>
                <w:b w:val="1"/>
                <w:i w:val="1"/>
              </w:rPr>
            </w:pPr>
            <w:r>
              <w:rPr>
                <w:rFonts w:ascii="Times New Roman" w:hAnsi="Times New Roman"/>
                <w:b w:val="1"/>
                <w:i w:val="1"/>
              </w:rPr>
              <w:t xml:space="preserve">Всего: </w:t>
            </w:r>
          </w:p>
        </w:tc>
        <w:tc>
          <w:tcPr>
            <w:tcW w:type="dxa" w:w="849"/>
            <w:tcBorders>
              <w:top w:color="000000" w:sz="4" w:val="single"/>
              <w:left w:color="000000" w:sz="4" w:val="single"/>
              <w:bottom w:color="000000" w:sz="4" w:val="single"/>
              <w:right w:color="000000" w:sz="4" w:val="single"/>
            </w:tcBorders>
          </w:tcPr>
          <w:p w14:paraId="E3040000">
            <w:pPr>
              <w:ind/>
              <w:jc w:val="center"/>
              <w:rPr>
                <w:rFonts w:ascii="Times New Roman" w:hAnsi="Times New Roman"/>
                <w:b w:val="1"/>
                <w:i w:val="1"/>
              </w:rPr>
            </w:pPr>
            <w:r>
              <w:rPr>
                <w:rFonts w:ascii="Times New Roman" w:hAnsi="Times New Roman"/>
                <w:b w:val="1"/>
                <w:i w:val="1"/>
              </w:rPr>
              <w:t xml:space="preserve">280 </w:t>
            </w:r>
          </w:p>
        </w:tc>
        <w:tc>
          <w:tcPr>
            <w:tcW w:type="dxa" w:w="567"/>
            <w:tcBorders>
              <w:top w:color="000000" w:sz="4" w:val="single"/>
              <w:left w:color="000000" w:sz="4" w:val="single"/>
              <w:bottom w:color="000000" w:sz="4" w:val="single"/>
              <w:right w:color="000000" w:sz="4" w:val="single"/>
            </w:tcBorders>
          </w:tcPr>
          <w:p w14:paraId="E4040000">
            <w:pPr>
              <w:ind/>
              <w:jc w:val="center"/>
              <w:rPr>
                <w:rFonts w:ascii="Times New Roman" w:hAnsi="Times New Roman"/>
                <w:b w:val="1"/>
              </w:rPr>
            </w:pPr>
            <w:r>
              <w:rPr>
                <w:rFonts w:ascii="Times New Roman" w:hAnsi="Times New Roman"/>
                <w:b w:val="1"/>
              </w:rPr>
              <w:t>194</w:t>
            </w:r>
          </w:p>
        </w:tc>
        <w:tc>
          <w:tcPr>
            <w:tcW w:type="dxa" w:w="636"/>
            <w:tcBorders>
              <w:top w:color="000000" w:sz="4" w:val="single"/>
              <w:left w:color="000000" w:sz="4" w:val="single"/>
              <w:bottom w:color="000000" w:sz="4" w:val="single"/>
              <w:right w:color="000000" w:sz="4" w:val="single"/>
            </w:tcBorders>
            <w:shd w:themeFill="background1" w:themeFillShade="D9" w:val="clear"/>
          </w:tcPr>
          <w:p w14:paraId="E5040000">
            <w:pPr>
              <w:ind/>
              <w:jc w:val="center"/>
              <w:rPr>
                <w:rFonts w:ascii="Times New Roman" w:hAnsi="Times New Roman"/>
                <w:b w:val="1"/>
                <w:i w:val="1"/>
              </w:rPr>
            </w:pPr>
            <w:r>
              <w:rPr>
                <w:rFonts w:ascii="Times New Roman" w:hAnsi="Times New Roman"/>
                <w:b w:val="1"/>
                <w:i w:val="1"/>
              </w:rPr>
              <w:t>172</w:t>
            </w:r>
          </w:p>
        </w:tc>
        <w:tc>
          <w:tcPr>
            <w:tcW w:type="dxa" w:w="563"/>
            <w:tcBorders>
              <w:top w:color="000000" w:sz="4" w:val="single"/>
              <w:left w:color="000000" w:sz="4" w:val="single"/>
              <w:bottom w:color="000000" w:sz="4" w:val="single"/>
              <w:right w:color="000000" w:sz="4" w:val="single"/>
            </w:tcBorders>
          </w:tcPr>
          <w:p w14:paraId="E6040000">
            <w:pPr>
              <w:ind/>
              <w:jc w:val="center"/>
              <w:rPr>
                <w:rFonts w:ascii="Times New Roman" w:hAnsi="Times New Roman"/>
                <w:b w:val="1"/>
                <w:i w:val="1"/>
              </w:rPr>
            </w:pPr>
            <w:r>
              <w:rPr>
                <w:rFonts w:ascii="Times New Roman" w:hAnsi="Times New Roman"/>
                <w:b w:val="1"/>
                <w:i w:val="1"/>
              </w:rPr>
              <w:t>172</w:t>
            </w:r>
          </w:p>
        </w:tc>
        <w:tc>
          <w:tcPr>
            <w:tcW w:type="dxa" w:w="421"/>
            <w:tcBorders>
              <w:top w:color="000000" w:sz="4" w:val="single"/>
              <w:left w:color="000000" w:sz="4" w:val="single"/>
              <w:bottom w:color="000000" w:sz="4" w:val="single"/>
              <w:right w:color="000000" w:sz="4" w:val="single"/>
            </w:tcBorders>
          </w:tcPr>
          <w:p w14:paraId="E7040000">
            <w:pPr>
              <w:ind/>
              <w:jc w:val="center"/>
              <w:rPr>
                <w:rFonts w:ascii="Times New Roman" w:hAnsi="Times New Roman"/>
                <w:b w:val="1"/>
                <w:i w:val="1"/>
              </w:rPr>
            </w:pPr>
            <w:r>
              <w:rPr>
                <w:rFonts w:ascii="Times New Roman" w:hAnsi="Times New Roman"/>
                <w:b w:val="1"/>
                <w:i w:val="1"/>
              </w:rPr>
              <w:t>Х</w:t>
            </w:r>
          </w:p>
        </w:tc>
        <w:tc>
          <w:tcPr>
            <w:tcW w:type="dxa" w:w="479"/>
            <w:tcBorders>
              <w:top w:color="000000" w:sz="4" w:val="single"/>
              <w:left w:color="000000" w:sz="4" w:val="single"/>
              <w:bottom w:color="000000" w:sz="4" w:val="single"/>
              <w:right w:color="000000" w:sz="4" w:val="single"/>
            </w:tcBorders>
          </w:tcPr>
          <w:p w14:paraId="E8040000">
            <w:pPr>
              <w:ind/>
              <w:jc w:val="center"/>
              <w:rPr>
                <w:rFonts w:ascii="Times New Roman" w:hAnsi="Times New Roman"/>
                <w:b w:val="1"/>
                <w:i w:val="1"/>
              </w:rPr>
            </w:pPr>
            <w:r>
              <w:rPr>
                <w:rFonts w:ascii="Times New Roman" w:hAnsi="Times New Roman"/>
                <w:b w:val="1"/>
                <w:i w:val="1"/>
              </w:rPr>
              <w:t>Х</w:t>
            </w:r>
          </w:p>
        </w:tc>
        <w:tc>
          <w:tcPr>
            <w:tcW w:type="dxa" w:w="453"/>
            <w:tcBorders>
              <w:top w:color="000000" w:sz="4" w:val="single"/>
              <w:left w:color="000000" w:sz="4" w:val="single"/>
              <w:bottom w:color="000000" w:sz="4" w:val="single"/>
              <w:right w:color="000000" w:sz="4" w:val="single"/>
            </w:tcBorders>
            <w:shd w:themeFill="background1" w:themeFillShade="D9" w:val="clear"/>
          </w:tcPr>
          <w:p w14:paraId="E9040000">
            <w:pPr>
              <w:ind/>
              <w:jc w:val="center"/>
              <w:rPr>
                <w:rFonts w:ascii="Times New Roman" w:hAnsi="Times New Roman"/>
                <w:b w:val="1"/>
              </w:rPr>
            </w:pPr>
            <w:r>
              <w:rPr>
                <w:rFonts w:ascii="Times New Roman" w:hAnsi="Times New Roman"/>
                <w:b w:val="1"/>
              </w:rPr>
              <w:t>36</w:t>
            </w:r>
          </w:p>
        </w:tc>
        <w:tc>
          <w:tcPr>
            <w:tcW w:type="dxa" w:w="565"/>
            <w:tcBorders>
              <w:top w:color="000000" w:sz="4" w:val="single"/>
              <w:left w:color="000000" w:sz="4" w:val="single"/>
              <w:bottom w:color="000000" w:sz="4" w:val="single"/>
              <w:right w:color="000000" w:sz="4" w:val="single"/>
            </w:tcBorders>
            <w:shd w:themeFill="background1" w:themeFillShade="D9" w:val="clear"/>
          </w:tcPr>
          <w:p w14:paraId="EA040000">
            <w:pPr>
              <w:ind/>
              <w:jc w:val="center"/>
              <w:rPr>
                <w:rFonts w:ascii="Times New Roman" w:hAnsi="Times New Roman"/>
                <w:b w:val="1"/>
              </w:rPr>
            </w:pPr>
            <w:r>
              <w:rPr>
                <w:rFonts w:ascii="Times New Roman" w:hAnsi="Times New Roman"/>
                <w:b w:val="1"/>
              </w:rPr>
              <w:t>72</w:t>
            </w:r>
          </w:p>
        </w:tc>
      </w:tr>
    </w:tbl>
    <w:p w14:paraId="EB040000">
      <w:pPr>
        <w:spacing w:after="200" w:line="276" w:lineRule="auto"/>
        <w:ind/>
        <w:rPr>
          <w:rFonts w:ascii="Times New Roman" w:hAnsi="Times New Roman"/>
          <w:b w:val="1"/>
          <w:i w:val="1"/>
          <w:color w:val="0070C0"/>
          <w:sz w:val="24"/>
        </w:rPr>
      </w:pPr>
    </w:p>
    <w:p w14:paraId="EC040000">
      <w:bookmarkStart w:id="40" w:name="__RefHeading___19"/>
      <w:bookmarkEnd w:id="40"/>
      <w:bookmarkStart w:id="41" w:name="__RefHeading___42"/>
      <w:bookmarkEnd w:id="41"/>
      <w:pPr>
        <w:pStyle w:val="Style_7"/>
        <w:rPr>
          <w:rFonts w:ascii="Times New Roman" w:hAnsi="Times New Roman"/>
        </w:rPr>
      </w:pPr>
      <w:r>
        <w:rPr>
          <w:rFonts w:ascii="Times New Roman" w:hAnsi="Times New Roman"/>
        </w:rPr>
        <w:t xml:space="preserve">2.3. Примерное содержание </w:t>
      </w:r>
      <w:r>
        <w:rPr>
          <w:rFonts w:ascii="Times New Roman" w:hAnsi="Times New Roman"/>
        </w:rPr>
        <w:t>профессионального модуля</w:t>
      </w:r>
    </w:p>
    <w:tbl>
      <w:tblPr>
        <w:tblStyle w:val="Style_8"/>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405"/>
        <w:gridCol w:w="7088"/>
      </w:tblGrid>
      <w:tr>
        <w:trPr>
          <w:trHeight w:hRule="atLeast" w:val="903"/>
        </w:trPr>
        <w:tc>
          <w:tcPr>
            <w:tcW w:type="dxa" w:w="2405"/>
            <w:tcBorders>
              <w:top w:color="000000" w:sz="4" w:val="single"/>
              <w:left w:color="000000" w:sz="4" w:val="single"/>
              <w:bottom w:color="000000" w:sz="4" w:val="single"/>
              <w:right w:color="000000" w:sz="4" w:val="single"/>
            </w:tcBorders>
            <w:vAlign w:val="center"/>
          </w:tcPr>
          <w:p w14:paraId="ED040000">
            <w:pPr>
              <w:spacing w:line="276" w:lineRule="auto"/>
              <w:ind/>
              <w:jc w:val="center"/>
              <w:rPr>
                <w:rFonts w:ascii="Times New Roman" w:hAnsi="Times New Roman"/>
                <w:b w:val="1"/>
              </w:rPr>
            </w:pPr>
            <w:r>
              <w:rPr>
                <w:rFonts w:ascii="Times New Roman" w:hAnsi="Times New Roman"/>
                <w:b w:val="1"/>
              </w:rPr>
              <w:t>Наименование разделов и тем</w:t>
            </w:r>
          </w:p>
        </w:tc>
        <w:tc>
          <w:tcPr>
            <w:tcW w:type="dxa" w:w="7088"/>
            <w:tcBorders>
              <w:top w:color="000000" w:sz="4" w:val="single"/>
              <w:left w:color="000000" w:sz="4" w:val="single"/>
              <w:bottom w:color="000000" w:sz="4" w:val="single"/>
              <w:right w:color="000000" w:sz="4" w:val="single"/>
            </w:tcBorders>
            <w:vAlign w:val="center"/>
          </w:tcPr>
          <w:p w14:paraId="EE040000">
            <w:pPr>
              <w:ind/>
              <w:jc w:val="center"/>
              <w:rPr>
                <w:rFonts w:ascii="Times New Roman" w:hAnsi="Times New Roman"/>
                <w:b w:val="1"/>
              </w:rPr>
            </w:pPr>
            <w:r>
              <w:rPr>
                <w:rFonts w:ascii="Times New Roman" w:hAnsi="Times New Roman"/>
                <w:b w:val="1"/>
              </w:rPr>
              <w:t xml:space="preserve">Примерное содержание учебного материала, практических и лабораторных занятия, </w:t>
            </w:r>
            <w:r>
              <w:rPr>
                <w:rFonts w:ascii="Times New Roman" w:hAnsi="Times New Roman"/>
                <w:i w:val="1"/>
              </w:rPr>
              <w:t>курсовой проект (работа)</w:t>
            </w:r>
          </w:p>
        </w:tc>
      </w:tr>
    </w:tbl>
    <w:tbl>
      <w:tblPr>
        <w:tblStyle w:val="Style_13"/>
        <w:tblW w:type="auto" w:w="0"/>
        <w:tblLayout w:type="fixed"/>
      </w:tblPr>
      <w:tblGrid>
        <w:gridCol w:w="2402"/>
        <w:gridCol w:w="7091"/>
      </w:tblGrid>
      <w:tr>
        <w:trPr>
          <w:trHeight w:hRule="atLeast" w:val="525"/>
        </w:trPr>
        <w:tc>
          <w:tcPr>
            <w:tcW w:type="dxa" w:w="9493"/>
            <w:gridSpan w:val="2"/>
          </w:tcPr>
          <w:p w14:paraId="EF040000">
            <w:pPr>
              <w:rPr>
                <w:rFonts w:ascii="Times New Roman" w:hAnsi="Times New Roman"/>
                <w:b w:val="1"/>
              </w:rPr>
            </w:pPr>
            <w:r>
              <w:rPr>
                <w:rFonts w:ascii="Times New Roman" w:hAnsi="Times New Roman"/>
                <w:b w:val="1"/>
                <w:color w:val="000000"/>
                <w:highlight w:val="white"/>
              </w:rPr>
              <w:t xml:space="preserve">Раздел 1. </w:t>
            </w:r>
            <w:r>
              <w:rPr>
                <w:rFonts w:ascii="Times New Roman" w:hAnsi="Times New Roman"/>
                <w:b w:val="1"/>
                <w:sz w:val="24"/>
                <w:highlight w:val="white"/>
              </w:rPr>
              <w:t>Бухгалтерская технология проведения и оформления инвентаризации</w:t>
            </w:r>
            <w:r>
              <w:rPr>
                <w:rFonts w:ascii="Times New Roman" w:hAnsi="Times New Roman"/>
                <w:b w:val="1"/>
                <w:sz w:val="24"/>
                <w:highlight w:val="white"/>
              </w:rPr>
              <w:t xml:space="preserve"> 76 ч.</w:t>
            </w:r>
          </w:p>
        </w:tc>
      </w:tr>
      <w:tr>
        <w:tc>
          <w:tcPr>
            <w:tcW w:type="dxa" w:w="9493"/>
            <w:gridSpan w:val="2"/>
          </w:tcPr>
          <w:p w14:paraId="F0040000">
            <w:pPr>
              <w:rPr>
                <w:rFonts w:ascii="Times New Roman" w:hAnsi="Times New Roman"/>
                <w:b w:val="1"/>
                <w:sz w:val="24"/>
              </w:rPr>
            </w:pPr>
            <w:r>
              <w:rPr>
                <w:rFonts w:ascii="Times New Roman" w:hAnsi="Times New Roman"/>
                <w:b w:val="1"/>
                <w:sz w:val="24"/>
                <w:highlight w:val="white"/>
              </w:rPr>
              <w:t>МДК 02.01 Бухгалтерская технология проведения и оформления инвентаризации</w:t>
            </w:r>
          </w:p>
        </w:tc>
      </w:tr>
      <w:tr>
        <w:tc>
          <w:tcPr>
            <w:tcW w:type="dxa" w:w="2402"/>
            <w:vMerge w:val="restart"/>
          </w:tcPr>
          <w:p w14:paraId="F1040000">
            <w:pPr>
              <w:ind/>
              <w:jc w:val="center"/>
              <w:rPr>
                <w:rFonts w:ascii="Times New Roman" w:hAnsi="Times New Roman"/>
                <w:b w:val="1"/>
                <w:sz w:val="24"/>
                <w:highlight w:val="white"/>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TA1NDRkMTQtMDg1Yy00MDAxLWFiYzEtODljMDYzZTYyNmMwfOTo8fbo7+vo7eB8fMHz9ePg6/Ll8PHq4P8g8uX17e7r7uPo/yDv8O7i5eTl7ej/IOgg7vTu8Ozr5e3o/yDo7eLl7fLg8Ojn4Pbo6A==//NjljNjUxMWMtY2M1Ni00YmUyLTg2MWMtNDhiNGRiZDVjZjdmfPLl7OB80uXs4CAxfM7h+ejlIO/u5PXu5Psg6iDy5fXt7uvu4+joIO/w7uLl5OXt6P8g6O3i5e3y4PDo5+D26Ogg6Ozz+eXx8uLgIOgg9Ojt4O3x7uL79SDu4f/n4PLl6/zx8uI=')"</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1. Общие подходы к технологии проведения инвентаризации имущества и финансовых обязательств</w:t>
            </w:r>
            <w:r>
              <w:rPr>
                <w:rFonts w:ascii="Times New Roman" w:hAnsi="Times New Roman"/>
                <w:b w:val="1"/>
                <w:sz w:val="24"/>
                <w:highlight w:val="white"/>
              </w:rPr>
              <w:fldChar w:fldCharType="end"/>
            </w:r>
          </w:p>
        </w:tc>
        <w:tc>
          <w:tcPr>
            <w:tcW w:type="dxa" w:w="7091"/>
          </w:tcPr>
          <w:p w14:paraId="F2040000">
            <w:pPr>
              <w:rPr>
                <w:rFonts w:ascii="Times New Roman" w:hAnsi="Times New Roman"/>
                <w:b w:val="1"/>
                <w:sz w:val="24"/>
                <w:highlight w:val="white"/>
              </w:rPr>
            </w:pPr>
            <w:r>
              <w:rPr>
                <w:rFonts w:ascii="Times New Roman" w:hAnsi="Times New Roman"/>
                <w:b w:val="1"/>
                <w:sz w:val="24"/>
              </w:rPr>
              <w:t>Содержание</w:t>
            </w:r>
          </w:p>
        </w:tc>
      </w:tr>
      <w:tr>
        <w:tc>
          <w:tcPr>
            <w:tcW w:type="dxa" w:w="2402"/>
            <w:gridSpan w:val="1"/>
            <w:vMerge w:val="continue"/>
          </w:tcPr>
          <w:p/>
        </w:tc>
        <w:tc>
          <w:tcPr>
            <w:tcW w:type="dxa" w:w="7091"/>
          </w:tcPr>
          <w:p w14:paraId="F3040000">
            <w:pPr>
              <w:rPr>
                <w:rFonts w:ascii="Times New Roman" w:hAnsi="Times New Roman"/>
                <w:sz w:val="24"/>
              </w:rPr>
            </w:pPr>
            <w:r>
              <w:rPr>
                <w:rFonts w:ascii="Times New Roman" w:hAnsi="Times New Roman"/>
                <w:sz w:val="24"/>
              </w:rPr>
              <w:t xml:space="preserve">Роль и значение инвентаризации. </w:t>
            </w:r>
          </w:p>
          <w:p w14:paraId="F4040000">
            <w:pPr>
              <w:rPr>
                <w:rFonts w:ascii="Times New Roman" w:hAnsi="Times New Roman"/>
                <w:sz w:val="24"/>
              </w:rPr>
            </w:pPr>
            <w:r>
              <w:rPr>
                <w:rFonts w:ascii="Times New Roman" w:hAnsi="Times New Roman"/>
                <w:sz w:val="24"/>
              </w:rPr>
              <w:t xml:space="preserve">Виды инвентаризации, сроки и периодичность ее проведения. </w:t>
            </w:r>
          </w:p>
          <w:p w14:paraId="F5040000">
            <w:pPr>
              <w:rPr>
                <w:rFonts w:ascii="Times New Roman" w:hAnsi="Times New Roman"/>
                <w:sz w:val="24"/>
              </w:rPr>
            </w:pPr>
            <w:r>
              <w:rPr>
                <w:rFonts w:ascii="Times New Roman" w:hAnsi="Times New Roman"/>
                <w:sz w:val="24"/>
              </w:rPr>
              <w:t xml:space="preserve">Объекты инвентаризации и их характеристика. </w:t>
            </w:r>
          </w:p>
          <w:p w14:paraId="F6040000">
            <w:pPr>
              <w:rPr>
                <w:rFonts w:ascii="Times New Roman" w:hAnsi="Times New Roman"/>
                <w:sz w:val="24"/>
              </w:rPr>
            </w:pPr>
            <w:r>
              <w:rPr>
                <w:rFonts w:ascii="Times New Roman" w:hAnsi="Times New Roman"/>
                <w:sz w:val="24"/>
              </w:rPr>
              <w:t xml:space="preserve">Задачи и состав инвентаризационной комиссии. </w:t>
            </w:r>
          </w:p>
          <w:p w14:paraId="F7040000">
            <w:pPr>
              <w:rPr>
                <w:rFonts w:ascii="Times New Roman" w:hAnsi="Times New Roman"/>
                <w:b w:val="1"/>
                <w:sz w:val="24"/>
              </w:rPr>
            </w:pPr>
            <w:r>
              <w:rPr>
                <w:rFonts w:ascii="Times New Roman" w:hAnsi="Times New Roman"/>
                <w:sz w:val="24"/>
              </w:rPr>
              <w:t>Подготовительные мероприятия перед началом инвентаризации.</w:t>
            </w:r>
          </w:p>
        </w:tc>
      </w:tr>
      <w:tr>
        <w:tc>
          <w:tcPr>
            <w:tcW w:type="dxa" w:w="2402"/>
            <w:gridSpan w:val="1"/>
            <w:vMerge w:val="continue"/>
          </w:tcPr>
          <w:p/>
        </w:tc>
        <w:tc>
          <w:tcPr>
            <w:tcW w:type="dxa" w:w="7091"/>
          </w:tcPr>
          <w:p w14:paraId="F8040000">
            <w:pPr>
              <w:rPr>
                <w:rFonts w:ascii="Times New Roman" w:hAnsi="Times New Roman"/>
                <w:b w:val="1"/>
                <w:sz w:val="24"/>
              </w:rPr>
            </w:pPr>
            <w:r>
              <w:rPr>
                <w:rFonts w:ascii="Times New Roman" w:hAnsi="Times New Roman"/>
                <w:b w:val="1"/>
                <w:sz w:val="24"/>
              </w:rPr>
              <w:t>В том числе практических занятий и лабораторных работ</w:t>
            </w:r>
          </w:p>
        </w:tc>
      </w:tr>
      <w:tr>
        <w:tc>
          <w:tcPr>
            <w:tcW w:type="dxa" w:w="2402"/>
            <w:gridSpan w:val="1"/>
            <w:vMerge w:val="continue"/>
          </w:tcPr>
          <w:p/>
        </w:tc>
        <w:tc>
          <w:tcPr>
            <w:tcW w:type="dxa" w:w="7091"/>
          </w:tcPr>
          <w:p w14:paraId="F9040000">
            <w:pPr>
              <w:rPr>
                <w:rFonts w:ascii="Times New Roman" w:hAnsi="Times New Roman"/>
                <w:sz w:val="24"/>
              </w:rPr>
            </w:pPr>
            <w:r>
              <w:rPr>
                <w:rFonts w:ascii="Times New Roman" w:hAnsi="Times New Roman"/>
                <w:sz w:val="24"/>
              </w:rPr>
              <w:t>1. Общие подходы к технологии проведения инвентаризации имущества и финансовых обязательств</w:t>
            </w:r>
          </w:p>
        </w:tc>
      </w:tr>
      <w:tr>
        <w:tc>
          <w:tcPr>
            <w:tcW w:type="dxa" w:w="2402"/>
            <w:vMerge w:val="restart"/>
          </w:tcPr>
          <w:p w14:paraId="FA040000">
            <w:pPr>
              <w:ind/>
              <w:jc w:val="cente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TA1NDRkMTQtMDg1Yy00MDAxLWFiYzEtODljMDYzZTYyNmMwfOTo8fbo7+vo7eB8fMHz9ePg6/Ll8PHq4P8g8uX17e7r7uPo/yDv8O7i5eTl7ej/IOgg7vTu8Ozr5e3o/yDo7eLl7fLg8Ojn4Pbo6A==//ZjY5NmM0MWMtNmRhMS00NWFmLWJlN2ItNjVlMjIxYTRhZDU5fPLl7OB80uXs4CAyfM/u8P/k7uog7/Du4uXk5e3o/yDo7eLl7fLg8Ojn4Pbo6Cwg7vTu8Ozr5e3o5SDl5SDw5efz6/zy4PLu4g==')"</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 xml:space="preserve">2. Порядок проведения инвентаризации, </w:t>
            </w:r>
            <w:r>
              <w:rPr>
                <w:rFonts w:ascii="Times New Roman" w:hAnsi="Times New Roman"/>
                <w:b w:val="1"/>
                <w:sz w:val="24"/>
                <w:highlight w:val="white"/>
              </w:rPr>
              <w:t>оформление ее результатов</w:t>
            </w:r>
            <w:r>
              <w:rPr>
                <w:rFonts w:ascii="Times New Roman" w:hAnsi="Times New Roman"/>
                <w:b w:val="1"/>
                <w:sz w:val="24"/>
                <w:highlight w:val="white"/>
              </w:rPr>
              <w:fldChar w:fldCharType="end"/>
            </w:r>
          </w:p>
        </w:tc>
        <w:tc>
          <w:tcPr>
            <w:tcW w:type="dxa" w:w="7091"/>
          </w:tcPr>
          <w:p w14:paraId="FB04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FC040000">
            <w:pPr>
              <w:rPr>
                <w:rFonts w:ascii="Times New Roman" w:hAnsi="Times New Roman"/>
                <w:sz w:val="24"/>
              </w:rPr>
            </w:pPr>
            <w:r>
              <w:rPr>
                <w:rFonts w:ascii="Times New Roman" w:hAnsi="Times New Roman"/>
                <w:sz w:val="24"/>
              </w:rPr>
              <w:t xml:space="preserve">Приемы подсчета инвентаризируемого имущества и определения реального состояния расчетов. </w:t>
            </w:r>
          </w:p>
          <w:p w14:paraId="FD040000">
            <w:pPr>
              <w:rPr>
                <w:rFonts w:ascii="Times New Roman" w:hAnsi="Times New Roman"/>
                <w:sz w:val="24"/>
              </w:rPr>
            </w:pPr>
            <w:r>
              <w:rPr>
                <w:rFonts w:ascii="Times New Roman" w:hAnsi="Times New Roman"/>
                <w:sz w:val="24"/>
              </w:rPr>
              <w:t xml:space="preserve">Порядок составления инвентаризационных описей и сроки передачи их в бухгалтерию. </w:t>
            </w:r>
          </w:p>
          <w:p w14:paraId="FE040000">
            <w:pPr>
              <w:rPr>
                <w:rFonts w:ascii="Times New Roman" w:hAnsi="Times New Roman"/>
                <w:sz w:val="24"/>
              </w:rPr>
            </w:pPr>
            <w:r>
              <w:rPr>
                <w:rFonts w:ascii="Times New Roman" w:hAnsi="Times New Roman"/>
                <w:sz w:val="24"/>
              </w:rPr>
              <w:t>Порядок составления сличительных ведомостей в бухгалтерии для выявления результатов инвентаризации.</w:t>
            </w:r>
          </w:p>
        </w:tc>
      </w:tr>
      <w:tr>
        <w:tc>
          <w:tcPr>
            <w:tcW w:type="dxa" w:w="2402"/>
            <w:gridSpan w:val="1"/>
            <w:vMerge w:val="continue"/>
          </w:tcPr>
          <w:p/>
        </w:tc>
        <w:tc>
          <w:tcPr>
            <w:tcW w:type="dxa" w:w="7091"/>
          </w:tcPr>
          <w:p w14:paraId="FF04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402"/>
            <w:gridSpan w:val="1"/>
            <w:vMerge w:val="continue"/>
          </w:tcPr>
          <w:p/>
        </w:tc>
        <w:tc>
          <w:tcPr>
            <w:tcW w:type="dxa" w:w="7091"/>
          </w:tcPr>
          <w:p w14:paraId="00050000">
            <w:pPr>
              <w:rPr>
                <w:rFonts w:ascii="Times New Roman" w:hAnsi="Times New Roman"/>
                <w:sz w:val="24"/>
              </w:rPr>
            </w:pPr>
            <w:r>
              <w:rPr>
                <w:rFonts w:ascii="Times New Roman" w:hAnsi="Times New Roman"/>
                <w:sz w:val="24"/>
              </w:rPr>
              <w:t>1. Порядок проведения инвентаризации, оформление ее результатов</w:t>
            </w:r>
          </w:p>
        </w:tc>
      </w:tr>
      <w:tr>
        <w:tc>
          <w:tcPr>
            <w:tcW w:type="dxa" w:w="2402"/>
            <w:vMerge w:val="restart"/>
          </w:tcPr>
          <w:p w14:paraId="01050000">
            <w:pPr>
              <w:ind/>
              <w:jc w:val="cente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TA1NDRkMTQtMDg1Yy00MDAxLWFiYzEtODljMDYzZTYyNmMwfOTo8fbo7+vo7eB8fMHz9ePg6/Ll8PHq4P8g8uX17e7r7uPo/yDv8O7i5eTl7ej/IOgg7vTu8Ozr5e3o/yDo7eLl7fLg8Ojn4Pbo6A==//ZmU4MGJkNmQtZjljMS00ODRiLWJiNjktMzBlNmU0OGYwZDk5fPLl7OB80uXs4CAzfM7y8ODm5e3o5SDiIOHz9ePg6/Ll8PHq7uwg8/fl8uUg8OXn8+v88uDy7uIg7/Du4uXk5e3t7ukg6O3i5e3y4PDo5+D26Og=')"</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3. Отражение в бухгалтерском учете результатов проведенной инвентаризации</w:t>
            </w:r>
            <w:r>
              <w:rPr>
                <w:rFonts w:ascii="Times New Roman" w:hAnsi="Times New Roman"/>
                <w:b w:val="1"/>
                <w:sz w:val="24"/>
                <w:highlight w:val="white"/>
              </w:rPr>
              <w:fldChar w:fldCharType="end"/>
            </w:r>
          </w:p>
        </w:tc>
        <w:tc>
          <w:tcPr>
            <w:tcW w:type="dxa" w:w="7091"/>
          </w:tcPr>
          <w:p w14:paraId="02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03050000">
            <w:pPr>
              <w:rPr>
                <w:rFonts w:ascii="Times New Roman" w:hAnsi="Times New Roman"/>
                <w:sz w:val="24"/>
              </w:rPr>
            </w:pPr>
            <w:r>
              <w:rPr>
                <w:rFonts w:ascii="Times New Roman" w:hAnsi="Times New Roman"/>
                <w:sz w:val="24"/>
              </w:rPr>
              <w:t xml:space="preserve">Оприходование излишков ценностей. </w:t>
            </w:r>
          </w:p>
          <w:p w14:paraId="04050000">
            <w:pPr>
              <w:rPr>
                <w:rFonts w:ascii="Times New Roman" w:hAnsi="Times New Roman"/>
                <w:sz w:val="24"/>
              </w:rPr>
            </w:pPr>
            <w:r>
              <w:rPr>
                <w:rFonts w:ascii="Times New Roman" w:hAnsi="Times New Roman"/>
                <w:sz w:val="24"/>
              </w:rPr>
              <w:t xml:space="preserve">Отражение недостач ценностей, выявленных в ходе инвентаризации, независимо от причин их возникновения. </w:t>
            </w:r>
          </w:p>
          <w:p w14:paraId="05050000">
            <w:pPr>
              <w:rPr>
                <w:rFonts w:ascii="Times New Roman" w:hAnsi="Times New Roman"/>
                <w:sz w:val="24"/>
              </w:rPr>
            </w:pPr>
            <w:r>
              <w:rPr>
                <w:rFonts w:ascii="Times New Roman" w:hAnsi="Times New Roman"/>
                <w:sz w:val="24"/>
              </w:rPr>
              <w:t xml:space="preserve">Списание недостач в зависимости от причин их возникновения. </w:t>
            </w:r>
          </w:p>
          <w:p w14:paraId="06050000">
            <w:pPr>
              <w:rPr>
                <w:rFonts w:ascii="Times New Roman" w:hAnsi="Times New Roman"/>
                <w:sz w:val="24"/>
              </w:rPr>
            </w:pPr>
            <w:r>
              <w:rPr>
                <w:rFonts w:ascii="Times New Roman" w:hAnsi="Times New Roman"/>
                <w:sz w:val="24"/>
              </w:rPr>
              <w:t>Зачет недостач излишками (пересортица).</w:t>
            </w:r>
          </w:p>
        </w:tc>
      </w:tr>
      <w:tr>
        <w:tc>
          <w:tcPr>
            <w:tcW w:type="dxa" w:w="2402"/>
            <w:gridSpan w:val="1"/>
            <w:vMerge w:val="continue"/>
          </w:tcPr>
          <w:p/>
        </w:tc>
        <w:tc>
          <w:tcPr>
            <w:tcW w:type="dxa" w:w="7091"/>
          </w:tcPr>
          <w:p w14:paraId="0705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402"/>
            <w:gridSpan w:val="1"/>
            <w:vMerge w:val="continue"/>
          </w:tcPr>
          <w:p/>
        </w:tc>
        <w:tc>
          <w:tcPr>
            <w:tcW w:type="dxa" w:w="7091"/>
          </w:tcPr>
          <w:p w14:paraId="08050000">
            <w:pPr>
              <w:rPr>
                <w:rFonts w:ascii="Times New Roman" w:hAnsi="Times New Roman"/>
                <w:sz w:val="24"/>
              </w:rPr>
            </w:pPr>
            <w:r>
              <w:rPr>
                <w:rFonts w:ascii="Times New Roman" w:hAnsi="Times New Roman"/>
                <w:sz w:val="24"/>
              </w:rPr>
              <w:t xml:space="preserve">1. Отражение в бухгалтерском учете результатов проведенной инвентаризации. Оприходование излишков ценностей. </w:t>
            </w:r>
            <w:r>
              <w:rPr>
                <w:rFonts w:ascii="Times New Roman" w:hAnsi="Times New Roman"/>
              </w:rPr>
              <w:t>Решение ситуационных задач».</w:t>
            </w:r>
          </w:p>
        </w:tc>
      </w:tr>
      <w:tr>
        <w:tc>
          <w:tcPr>
            <w:tcW w:type="dxa" w:w="2402"/>
            <w:gridSpan w:val="1"/>
            <w:vMerge w:val="continue"/>
          </w:tcPr>
          <w:p/>
        </w:tc>
        <w:tc>
          <w:tcPr>
            <w:tcW w:type="dxa" w:w="7091"/>
          </w:tcPr>
          <w:p w14:paraId="09050000">
            <w:pPr>
              <w:rPr>
                <w:rFonts w:ascii="Times New Roman" w:hAnsi="Times New Roman"/>
                <w:sz w:val="24"/>
              </w:rPr>
            </w:pPr>
            <w:r>
              <w:rPr>
                <w:rFonts w:ascii="Times New Roman" w:hAnsi="Times New Roman"/>
                <w:sz w:val="24"/>
              </w:rPr>
              <w:t xml:space="preserve">2. Отражение в бухгалтерском учете результатов проведенной инвентаризации. Списание недостач в зависимости от причин их возникновения. </w:t>
            </w:r>
            <w:r>
              <w:rPr>
                <w:rFonts w:ascii="Times New Roman" w:hAnsi="Times New Roman"/>
              </w:rPr>
              <w:t>Решение ситуационных задач».</w:t>
            </w:r>
          </w:p>
        </w:tc>
      </w:tr>
      <w:tr>
        <w:tc>
          <w:tcPr>
            <w:tcW w:type="dxa" w:w="2402"/>
            <w:vMerge w:val="restart"/>
          </w:tcPr>
          <w:p w14:paraId="0A050000">
            <w:pPr>
              <w:ind/>
              <w:jc w:val="cente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TA1NDRkMTQtMDg1Yy00MDAxLWFiYzEtODljMDYzZTYyNmMwfOTo8fbo7+vo7eB8fMHz9ePg6/Ll8PHq4P8g8uX17e7r7uPo/yDv8O7i5eTl7ej/IOgg7vTu8Ozr5e3o/yDo7eLl7fLg8Ojn4Pbo6A==//OTEyNjY5OGUtMzY0NC00OThkLTljYjktYmM5ZDM2MDFkMTcxfPLl7OB80uXs4CA0fMjt4uXt8uDw6Ofg9uj/IO7x7e7i7fv1IPHw5eTx8uI=')"</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4. Инвентаризация основных средств</w:t>
            </w:r>
            <w:r>
              <w:rPr>
                <w:rFonts w:ascii="Times New Roman" w:hAnsi="Times New Roman"/>
                <w:b w:val="1"/>
                <w:sz w:val="24"/>
                <w:highlight w:val="white"/>
              </w:rPr>
              <w:fldChar w:fldCharType="end"/>
            </w:r>
          </w:p>
        </w:tc>
        <w:tc>
          <w:tcPr>
            <w:tcW w:type="dxa" w:w="7091"/>
          </w:tcPr>
          <w:p w14:paraId="0B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0C050000">
            <w:pPr>
              <w:rPr>
                <w:rFonts w:ascii="Times New Roman" w:hAnsi="Times New Roman"/>
                <w:sz w:val="24"/>
              </w:rPr>
            </w:pPr>
            <w:r>
              <w:rPr>
                <w:rFonts w:ascii="Times New Roman" w:hAnsi="Times New Roman"/>
                <w:sz w:val="24"/>
              </w:rPr>
              <w:t xml:space="preserve">Общие правила проведения инвентаризации основных средств. </w:t>
            </w:r>
          </w:p>
          <w:p w14:paraId="0D050000">
            <w:pPr>
              <w:rPr>
                <w:rFonts w:ascii="Times New Roman" w:hAnsi="Times New Roman"/>
                <w:sz w:val="24"/>
              </w:rPr>
            </w:pPr>
            <w:r>
              <w:rPr>
                <w:rFonts w:ascii="Times New Roman" w:hAnsi="Times New Roman"/>
                <w:sz w:val="24"/>
              </w:rPr>
              <w:t xml:space="preserve">Особенности порядка проведения инвентаризации основных средств. </w:t>
            </w:r>
          </w:p>
          <w:p w14:paraId="0E050000">
            <w:pPr>
              <w:rPr>
                <w:rFonts w:ascii="Times New Roman" w:hAnsi="Times New Roman"/>
                <w:sz w:val="24"/>
              </w:rPr>
            </w:pPr>
            <w:r>
              <w:rPr>
                <w:rFonts w:ascii="Times New Roman" w:hAnsi="Times New Roman"/>
                <w:sz w:val="24"/>
              </w:rPr>
              <w:t xml:space="preserve">Документальное оформление результатов инвентаризации основных средств. </w:t>
            </w:r>
          </w:p>
          <w:p w14:paraId="0F050000">
            <w:pPr>
              <w:rPr>
                <w:rFonts w:ascii="Times New Roman" w:hAnsi="Times New Roman"/>
                <w:sz w:val="24"/>
              </w:rPr>
            </w:pPr>
            <w:r>
              <w:rPr>
                <w:rFonts w:ascii="Times New Roman" w:hAnsi="Times New Roman"/>
                <w:sz w:val="24"/>
              </w:rPr>
              <w:t>Отражение в бухгалтерском учете выявленных при инвентаризации расхождений между фактическим наличием основных средств и данными учета.</w:t>
            </w:r>
          </w:p>
        </w:tc>
      </w:tr>
      <w:tr>
        <w:tc>
          <w:tcPr>
            <w:tcW w:type="dxa" w:w="2402"/>
            <w:gridSpan w:val="1"/>
            <w:vMerge w:val="continue"/>
          </w:tcPr>
          <w:p/>
        </w:tc>
        <w:tc>
          <w:tcPr>
            <w:tcW w:type="dxa" w:w="7091"/>
          </w:tcPr>
          <w:p w14:paraId="1005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402"/>
            <w:gridSpan w:val="1"/>
            <w:vMerge w:val="continue"/>
          </w:tcPr>
          <w:p/>
        </w:tc>
        <w:tc>
          <w:tcPr>
            <w:tcW w:type="dxa" w:w="7091"/>
          </w:tcPr>
          <w:p w14:paraId="11050000">
            <w:pPr>
              <w:ind/>
              <w:jc w:val="both"/>
              <w:rPr>
                <w:rFonts w:ascii="Times New Roman" w:hAnsi="Times New Roman"/>
                <w:sz w:val="24"/>
              </w:rPr>
            </w:pPr>
            <w:r>
              <w:rPr>
                <w:rFonts w:ascii="Times New Roman" w:hAnsi="Times New Roman"/>
              </w:rPr>
              <w:t xml:space="preserve">1. «Выполнение работ по отражению результатов инвентаризации внеоборотных активов. </w:t>
            </w:r>
            <w:r>
              <w:rPr>
                <w:rFonts w:ascii="Times New Roman" w:hAnsi="Times New Roman"/>
              </w:rPr>
              <w:t>Документальное оформление и учет выявленных недостач и порчи имущества, порядок их списания</w:t>
            </w:r>
            <w:r>
              <w:rPr>
                <w:rFonts w:ascii="Times New Roman" w:hAnsi="Times New Roman"/>
              </w:rPr>
              <w:t>. Решение ситуационных задач».</w:t>
            </w:r>
          </w:p>
        </w:tc>
      </w:tr>
      <w:tr>
        <w:tc>
          <w:tcPr>
            <w:tcW w:type="dxa" w:w="2402"/>
            <w:gridSpan w:val="1"/>
            <w:vMerge w:val="continue"/>
          </w:tcPr>
          <w:p/>
        </w:tc>
        <w:tc>
          <w:tcPr>
            <w:tcW w:type="dxa" w:w="7091"/>
          </w:tcPr>
          <w:p w14:paraId="12050000">
            <w:pPr>
              <w:ind/>
              <w:jc w:val="both"/>
              <w:rPr>
                <w:rFonts w:ascii="Times New Roman" w:hAnsi="Times New Roman"/>
                <w:sz w:val="24"/>
              </w:rPr>
            </w:pPr>
            <w:r>
              <w:rPr>
                <w:rFonts w:ascii="Times New Roman" w:hAnsi="Times New Roman"/>
              </w:rPr>
              <w:t xml:space="preserve">2. «Выполнение работ по отражению результатов инвентаризации </w:t>
            </w:r>
            <w:r>
              <w:rPr>
                <w:rFonts w:ascii="Times New Roman" w:hAnsi="Times New Roman"/>
              </w:rPr>
              <w:t>внеоборотных активов</w:t>
            </w:r>
            <w:r>
              <w:rPr>
                <w:rFonts w:ascii="Times New Roman" w:hAnsi="Times New Roman"/>
              </w:rPr>
              <w:t xml:space="preserve">. Документальное оформление и оценка неучтенных объектов основных средств. </w:t>
            </w:r>
            <w:r>
              <w:rPr>
                <w:rFonts w:ascii="Times New Roman" w:hAnsi="Times New Roman"/>
              </w:rPr>
              <w:t>Решение ситуационных задач».</w:t>
            </w:r>
          </w:p>
        </w:tc>
      </w:tr>
      <w:tr>
        <w:tc>
          <w:tcPr>
            <w:tcW w:type="dxa" w:w="2402"/>
            <w:gridSpan w:val="1"/>
            <w:vMerge w:val="continue"/>
          </w:tcPr>
          <w:p/>
        </w:tc>
        <w:tc>
          <w:tcPr>
            <w:tcW w:type="dxa" w:w="7091"/>
          </w:tcPr>
          <w:p w14:paraId="13050000">
            <w:pPr>
              <w:rPr>
                <w:rFonts w:ascii="Times New Roman" w:hAnsi="Times New Roman"/>
                <w:sz w:val="24"/>
              </w:rPr>
            </w:pPr>
            <w:r>
              <w:rPr>
                <w:rFonts w:ascii="Times New Roman" w:hAnsi="Times New Roman"/>
                <w:sz w:val="24"/>
              </w:rPr>
              <w:t>3.</w:t>
            </w:r>
            <w:r>
              <w:rPr>
                <w:rFonts w:ascii="Times New Roman" w:hAnsi="Times New Roman"/>
              </w:rPr>
              <w:t xml:space="preserve"> «Выполнение работ по отражению результатов инвентаризации </w:t>
            </w:r>
            <w:r>
              <w:rPr>
                <w:rFonts w:ascii="Times New Roman" w:hAnsi="Times New Roman"/>
              </w:rPr>
              <w:t>внеоборотных активов</w:t>
            </w:r>
            <w:r>
              <w:rPr>
                <w:rFonts w:ascii="Times New Roman" w:hAnsi="Times New Roman"/>
              </w:rPr>
              <w:t xml:space="preserve">. </w:t>
            </w:r>
            <w:r>
              <w:rPr>
                <w:rFonts w:ascii="Times New Roman" w:hAnsi="Times New Roman"/>
                <w:sz w:val="24"/>
              </w:rPr>
              <w:t>Отражение в бухгалтерском учете результатов инвентаризации основных средств.</w:t>
            </w:r>
            <w:r>
              <w:rPr>
                <w:rFonts w:ascii="Times New Roman" w:hAnsi="Times New Roman"/>
              </w:rPr>
              <w:t xml:space="preserve"> Решение ситуационных задач».</w:t>
            </w:r>
          </w:p>
        </w:tc>
      </w:tr>
      <w:tr>
        <w:tc>
          <w:tcPr>
            <w:tcW w:type="dxa" w:w="2402"/>
            <w:vMerge w:val="restart"/>
          </w:tcPr>
          <w:p w14:paraId="14050000">
            <w:pPr>
              <w:ind/>
              <w:jc w:val="cente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TA1NDRkMTQtMDg1Yy00MDAxLWFiYzEtODljMDYzZTYyNmMwfOTo8fbo7+vo7eB8fMHz9ePg6/Ll8PHq4P8g8uX17e7r7uPo/yDv8O7i5eTl7ej/IOgg7vTu8Ozr5e3o/yDo7eLl7fLg8Ojn4Pbo6A==//ZTUyYWFmMTYtNWJmNi00NjdkLTg4MWYtNzE4MzY4MzU0YzUwfPLl7OB80uXs4CA1fMjt4uXt8uDw6Ofg9uj/IO3l7ODy5fDo4Ov87fv1IODq8uji7uI=')"</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5. Инвентаризация нематериальных активов</w:t>
            </w:r>
            <w:r>
              <w:rPr>
                <w:rFonts w:ascii="Times New Roman" w:hAnsi="Times New Roman"/>
                <w:b w:val="1"/>
                <w:sz w:val="24"/>
                <w:highlight w:val="white"/>
              </w:rPr>
              <w:fldChar w:fldCharType="end"/>
            </w:r>
          </w:p>
        </w:tc>
        <w:tc>
          <w:tcPr>
            <w:tcW w:type="dxa" w:w="7091"/>
          </w:tcPr>
          <w:p w14:paraId="15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16050000">
            <w:pPr>
              <w:rPr>
                <w:rFonts w:ascii="Times New Roman" w:hAnsi="Times New Roman"/>
                <w:sz w:val="24"/>
              </w:rPr>
            </w:pPr>
            <w:r>
              <w:rPr>
                <w:rFonts w:ascii="Times New Roman" w:hAnsi="Times New Roman"/>
                <w:sz w:val="24"/>
              </w:rPr>
              <w:t xml:space="preserve">Общие положения по проведению инвентаризации нематериальных активов. </w:t>
            </w:r>
          </w:p>
          <w:p w14:paraId="17050000">
            <w:pPr>
              <w:rPr>
                <w:rFonts w:ascii="Times New Roman" w:hAnsi="Times New Roman"/>
                <w:sz w:val="24"/>
              </w:rPr>
            </w:pPr>
            <w:r>
              <w:rPr>
                <w:rFonts w:ascii="Times New Roman" w:hAnsi="Times New Roman"/>
                <w:sz w:val="24"/>
              </w:rPr>
              <w:t xml:space="preserve">Порядок проведения инвентаризации нематериальных активов. </w:t>
            </w:r>
          </w:p>
          <w:p w14:paraId="18050000">
            <w:pPr>
              <w:rPr>
                <w:rFonts w:ascii="Times New Roman" w:hAnsi="Times New Roman"/>
                <w:sz w:val="24"/>
              </w:rPr>
            </w:pPr>
            <w:r>
              <w:rPr>
                <w:rFonts w:ascii="Times New Roman" w:hAnsi="Times New Roman"/>
                <w:sz w:val="24"/>
              </w:rPr>
              <w:t xml:space="preserve">Документальное оформление результатов инвентаризации нематериальных активов. </w:t>
            </w:r>
          </w:p>
          <w:p w14:paraId="19050000">
            <w:pPr>
              <w:rPr>
                <w:rFonts w:ascii="Times New Roman" w:hAnsi="Times New Roman"/>
                <w:sz w:val="24"/>
              </w:rPr>
            </w:pPr>
            <w:r>
              <w:rPr>
                <w:rFonts w:ascii="Times New Roman" w:hAnsi="Times New Roman"/>
                <w:sz w:val="24"/>
              </w:rPr>
              <w:t>Отражение результатов инвентаризации нематериальных активов в бухгалтерском учете.</w:t>
            </w:r>
          </w:p>
        </w:tc>
      </w:tr>
      <w:tr>
        <w:tc>
          <w:tcPr>
            <w:tcW w:type="dxa" w:w="2402"/>
            <w:gridSpan w:val="1"/>
            <w:vMerge w:val="continue"/>
          </w:tcPr>
          <w:p/>
        </w:tc>
        <w:tc>
          <w:tcPr>
            <w:tcW w:type="dxa" w:w="7091"/>
          </w:tcPr>
          <w:p w14:paraId="1A05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402"/>
            <w:gridSpan w:val="1"/>
            <w:vMerge w:val="continue"/>
          </w:tcPr>
          <w:p/>
        </w:tc>
        <w:tc>
          <w:tcPr>
            <w:tcW w:type="dxa" w:w="7091"/>
          </w:tcPr>
          <w:p w14:paraId="1B050000">
            <w:pPr>
              <w:ind/>
              <w:jc w:val="both"/>
              <w:rPr>
                <w:rFonts w:ascii="Times New Roman" w:hAnsi="Times New Roman"/>
                <w:sz w:val="24"/>
              </w:rPr>
            </w:pPr>
            <w:r>
              <w:rPr>
                <w:rFonts w:ascii="Times New Roman" w:hAnsi="Times New Roman"/>
              </w:rPr>
              <w:t xml:space="preserve">1. «Выполнение работ по отражению результатов инвентаризации внеоборотных активов. </w:t>
            </w:r>
            <w:r>
              <w:rPr>
                <w:rFonts w:ascii="Times New Roman" w:hAnsi="Times New Roman"/>
              </w:rPr>
              <w:t xml:space="preserve">Документальное оформление и учет выявленных </w:t>
            </w:r>
            <w:r>
              <w:rPr>
                <w:rFonts w:ascii="Times New Roman" w:hAnsi="Times New Roman"/>
              </w:rPr>
              <w:t>недостач и порчи имущества, порядок их списания</w:t>
            </w:r>
            <w:r>
              <w:rPr>
                <w:rFonts w:ascii="Times New Roman" w:hAnsi="Times New Roman"/>
              </w:rPr>
              <w:t>. Решение ситуационных задач».</w:t>
            </w:r>
          </w:p>
        </w:tc>
      </w:tr>
      <w:tr>
        <w:tc>
          <w:tcPr>
            <w:tcW w:type="dxa" w:w="2402"/>
            <w:gridSpan w:val="1"/>
            <w:vMerge w:val="continue"/>
          </w:tcPr>
          <w:p/>
        </w:tc>
        <w:tc>
          <w:tcPr>
            <w:tcW w:type="dxa" w:w="7091"/>
          </w:tcPr>
          <w:p w14:paraId="1C050000">
            <w:pPr>
              <w:ind/>
              <w:jc w:val="both"/>
              <w:rPr>
                <w:rFonts w:ascii="Times New Roman" w:hAnsi="Times New Roman"/>
                <w:sz w:val="24"/>
              </w:rPr>
            </w:pPr>
            <w:r>
              <w:rPr>
                <w:rFonts w:ascii="Times New Roman" w:hAnsi="Times New Roman"/>
              </w:rPr>
              <w:t xml:space="preserve">2. «Выполнение работ по отражению результатов инвентаризации </w:t>
            </w:r>
            <w:r>
              <w:rPr>
                <w:rFonts w:ascii="Times New Roman" w:hAnsi="Times New Roman"/>
              </w:rPr>
              <w:t>внеоборотных активов</w:t>
            </w:r>
            <w:r>
              <w:rPr>
                <w:rFonts w:ascii="Times New Roman" w:hAnsi="Times New Roman"/>
              </w:rPr>
              <w:t xml:space="preserve">. Документальное оформление и оценка неучтенных объектов нематериальных активов. </w:t>
            </w:r>
            <w:r>
              <w:rPr>
                <w:rFonts w:ascii="Times New Roman" w:hAnsi="Times New Roman"/>
              </w:rPr>
              <w:t>Решение ситуационных задач».</w:t>
            </w:r>
          </w:p>
        </w:tc>
      </w:tr>
      <w:tr>
        <w:tc>
          <w:tcPr>
            <w:tcW w:type="dxa" w:w="2402"/>
            <w:gridSpan w:val="1"/>
            <w:vMerge w:val="continue"/>
          </w:tcPr>
          <w:p/>
        </w:tc>
        <w:tc>
          <w:tcPr>
            <w:tcW w:type="dxa" w:w="7091"/>
          </w:tcPr>
          <w:p w14:paraId="1D050000">
            <w:pPr>
              <w:rPr>
                <w:rFonts w:ascii="Times New Roman" w:hAnsi="Times New Roman"/>
                <w:sz w:val="24"/>
              </w:rPr>
            </w:pPr>
            <w:r>
              <w:rPr>
                <w:rFonts w:ascii="Times New Roman" w:hAnsi="Times New Roman"/>
                <w:sz w:val="24"/>
              </w:rPr>
              <w:t>3.</w:t>
            </w:r>
            <w:r>
              <w:rPr>
                <w:rFonts w:ascii="Times New Roman" w:hAnsi="Times New Roman"/>
              </w:rPr>
              <w:t xml:space="preserve"> «Выполнение работ по отражению результатов инвентаризации </w:t>
            </w:r>
            <w:r>
              <w:rPr>
                <w:rFonts w:ascii="Times New Roman" w:hAnsi="Times New Roman"/>
              </w:rPr>
              <w:t>внеоборотных активов</w:t>
            </w:r>
            <w:r>
              <w:rPr>
                <w:rFonts w:ascii="Times New Roman" w:hAnsi="Times New Roman"/>
              </w:rPr>
              <w:t xml:space="preserve">. </w:t>
            </w:r>
            <w:r>
              <w:rPr>
                <w:rFonts w:ascii="Times New Roman" w:hAnsi="Times New Roman"/>
                <w:sz w:val="24"/>
              </w:rPr>
              <w:t xml:space="preserve">Отражение в бухгалтерском учете результатов инвентаризации </w:t>
            </w:r>
            <w:r>
              <w:rPr>
                <w:rFonts w:ascii="Times New Roman" w:hAnsi="Times New Roman"/>
              </w:rPr>
              <w:t>нематериальных активов</w:t>
            </w:r>
            <w:r>
              <w:rPr>
                <w:rFonts w:ascii="Times New Roman" w:hAnsi="Times New Roman"/>
                <w:sz w:val="24"/>
              </w:rPr>
              <w:t>.</w:t>
            </w:r>
            <w:r>
              <w:rPr>
                <w:rFonts w:ascii="Times New Roman" w:hAnsi="Times New Roman"/>
              </w:rPr>
              <w:t xml:space="preserve"> Решение ситуационных задач».</w:t>
            </w:r>
          </w:p>
        </w:tc>
      </w:tr>
      <w:tr>
        <w:tc>
          <w:tcPr>
            <w:tcW w:type="dxa" w:w="2402"/>
            <w:vMerge w:val="restart"/>
          </w:tcPr>
          <w:p w14:paraId="1E050000">
            <w:pPr>
              <w:ind/>
              <w:jc w:val="center"/>
              <w:rPr>
                <w:rFonts w:ascii="Times New Roman" w:hAnsi="Times New Roman"/>
                <w:sz w:val="24"/>
              </w:rPr>
            </w:pPr>
            <w:r>
              <w:rPr>
                <w:rFonts w:ascii="Times New Roman" w:hAnsi="Times New Roman"/>
                <w:b w:val="1"/>
                <w:sz w:val="24"/>
              </w:rPr>
              <w:fldChar w:fldCharType="begin"/>
            </w:r>
            <w:r>
              <w:rPr>
                <w:rFonts w:ascii="Times New Roman" w:hAnsi="Times New Roman"/>
                <w:b w:val="1"/>
                <w:sz w:val="24"/>
              </w:rPr>
              <w:instrText>HYPERLINK "javascript:__doPostBack('ctl00$ctl00$ParentContent$ContentLeftPart$tvTema','sYTA1NDRkMTQtMDg1Yy00MDAxLWFiYzEtODljMDYzZTYyNmMwfOTo8fbo7+vo7eB8fMHz9ePg6/Ll8PHq4P8g8uX17e7r7uPo/yDv8O7i5eTl7ej/IOgg7vTu8Ozr5e3o/yDo7eLl7fLg8Ojn4Pbo6A==//NzA2M2JmOGYtZjgzYy00ZTRlLWI3ZmItMjAyZDBjZTcxMTIyfPLl7OB80uXs4CA2fMjt4uXt8uDw6Ofg9uj/IOgg7+Xw5e725e3q4CDs4PLl8Ojg6/zt7i3v8O7o5+Lu5PHy4uXt7fv1IOfg7+Dx7uI=')"</w:instrText>
            </w:r>
            <w:r>
              <w:rPr>
                <w:rFonts w:ascii="Times New Roman" w:hAnsi="Times New Roman"/>
                <w:b w:val="1"/>
                <w:sz w:val="24"/>
              </w:rPr>
              <w:fldChar w:fldCharType="separate"/>
            </w:r>
            <w:r>
              <w:rPr>
                <w:rFonts w:ascii="Times New Roman" w:hAnsi="Times New Roman"/>
                <w:b w:val="1"/>
                <w:sz w:val="24"/>
              </w:rPr>
              <w:t xml:space="preserve">Тема </w:t>
            </w:r>
            <w:r>
              <w:rPr>
                <w:rFonts w:ascii="Times New Roman" w:hAnsi="Times New Roman"/>
                <w:b w:val="1"/>
                <w:sz w:val="24"/>
              </w:rPr>
              <w:t>1.</w:t>
            </w:r>
            <w:r>
              <w:rPr>
                <w:rFonts w:ascii="Times New Roman" w:hAnsi="Times New Roman"/>
                <w:b w:val="1"/>
                <w:sz w:val="24"/>
              </w:rPr>
              <w:t>6. Инвентаризация и переоценка материально-производственных запасов</w:t>
            </w:r>
            <w:r>
              <w:rPr>
                <w:rFonts w:ascii="Times New Roman" w:hAnsi="Times New Roman"/>
                <w:b w:val="1"/>
                <w:sz w:val="24"/>
              </w:rPr>
              <w:fldChar w:fldCharType="end"/>
            </w:r>
          </w:p>
        </w:tc>
        <w:tc>
          <w:tcPr>
            <w:tcW w:type="dxa" w:w="7091"/>
          </w:tcPr>
          <w:p w14:paraId="1F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20050000">
            <w:pPr>
              <w:ind/>
              <w:jc w:val="both"/>
              <w:rPr>
                <w:rFonts w:ascii="Times New Roman" w:hAnsi="Times New Roman"/>
                <w:sz w:val="24"/>
              </w:rPr>
            </w:pPr>
            <w:r>
              <w:rPr>
                <w:rFonts w:ascii="Times New Roman" w:hAnsi="Times New Roman"/>
                <w:sz w:val="24"/>
              </w:rPr>
              <w:t xml:space="preserve">Теоретические основы инвентаризации материально-производственных запасов, ее роль и значение в учете. </w:t>
            </w:r>
          </w:p>
          <w:p w14:paraId="21050000">
            <w:pPr>
              <w:ind/>
              <w:jc w:val="both"/>
              <w:rPr>
                <w:rFonts w:ascii="Times New Roman" w:hAnsi="Times New Roman"/>
                <w:sz w:val="24"/>
              </w:rPr>
            </w:pPr>
            <w:r>
              <w:rPr>
                <w:rFonts w:ascii="Times New Roman" w:hAnsi="Times New Roman"/>
                <w:sz w:val="24"/>
              </w:rPr>
              <w:t xml:space="preserve">Порядок проведения и технико-физические процедуры инвентаризации материально-производственных запасов. </w:t>
            </w:r>
          </w:p>
          <w:p w14:paraId="22050000">
            <w:pPr>
              <w:ind/>
              <w:jc w:val="both"/>
              <w:rPr>
                <w:rFonts w:ascii="Times New Roman" w:hAnsi="Times New Roman"/>
                <w:sz w:val="24"/>
              </w:rPr>
            </w:pPr>
            <w:r>
              <w:rPr>
                <w:rFonts w:ascii="Times New Roman" w:hAnsi="Times New Roman"/>
                <w:sz w:val="24"/>
              </w:rPr>
              <w:t xml:space="preserve">Документальное оформление и выведение результатов инвентаризации материально-производственных запасов. </w:t>
            </w:r>
          </w:p>
          <w:p w14:paraId="23050000">
            <w:pPr>
              <w:ind/>
              <w:jc w:val="both"/>
              <w:rPr>
                <w:rFonts w:ascii="Times New Roman" w:hAnsi="Times New Roman"/>
                <w:sz w:val="24"/>
              </w:rPr>
            </w:pPr>
            <w:r>
              <w:rPr>
                <w:rFonts w:ascii="Times New Roman" w:hAnsi="Times New Roman"/>
                <w:sz w:val="24"/>
              </w:rPr>
              <w:t>Отражение результатов инвентаризации материально-производственных запасов в бухгалтерском учете.</w:t>
            </w:r>
          </w:p>
        </w:tc>
      </w:tr>
      <w:tr>
        <w:tc>
          <w:tcPr>
            <w:tcW w:type="dxa" w:w="2402"/>
            <w:gridSpan w:val="1"/>
            <w:vMerge w:val="continue"/>
          </w:tcPr>
          <w:p/>
        </w:tc>
        <w:tc>
          <w:tcPr>
            <w:tcW w:type="dxa" w:w="7091"/>
          </w:tcPr>
          <w:p w14:paraId="2405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402"/>
            <w:gridSpan w:val="1"/>
            <w:vMerge w:val="continue"/>
          </w:tcPr>
          <w:p/>
        </w:tc>
        <w:tc>
          <w:tcPr>
            <w:tcW w:type="dxa" w:w="7091"/>
          </w:tcPr>
          <w:p w14:paraId="25050000">
            <w:pPr>
              <w:numPr>
                <w:ilvl w:val="0"/>
                <w:numId w:val="12"/>
              </w:numPr>
              <w:tabs>
                <w:tab w:leader="none" w:pos="359" w:val="left"/>
              </w:tabs>
              <w:ind w:firstLine="0" w:left="0"/>
              <w:jc w:val="both"/>
              <w:rPr>
                <w:rFonts w:ascii="Times New Roman" w:hAnsi="Times New Roman"/>
                <w:sz w:val="24"/>
              </w:rPr>
            </w:pPr>
            <w:r>
              <w:rPr>
                <w:rFonts w:ascii="Times New Roman" w:hAnsi="Times New Roman"/>
                <w:sz w:val="24"/>
              </w:rPr>
              <w:t xml:space="preserve">«Выполнение работ по отражению результатов инвентаризации оборотных активов. </w:t>
            </w:r>
            <w:r>
              <w:rPr>
                <w:rFonts w:ascii="Times New Roman" w:hAnsi="Times New Roman"/>
                <w:sz w:val="24"/>
              </w:rPr>
              <w:t>Документальное оформление и учет выявленных недостач и порчи имущества, порядок их списания</w:t>
            </w:r>
            <w:r>
              <w:rPr>
                <w:rFonts w:ascii="Times New Roman" w:hAnsi="Times New Roman"/>
                <w:sz w:val="24"/>
              </w:rPr>
              <w:t>. Решение ситуационных задач».</w:t>
            </w:r>
          </w:p>
        </w:tc>
      </w:tr>
      <w:tr>
        <w:tc>
          <w:tcPr>
            <w:tcW w:type="dxa" w:w="2402"/>
            <w:gridSpan w:val="1"/>
            <w:vMerge w:val="continue"/>
          </w:tcPr>
          <w:p/>
        </w:tc>
        <w:tc>
          <w:tcPr>
            <w:tcW w:type="dxa" w:w="7091"/>
          </w:tcPr>
          <w:p w14:paraId="26050000">
            <w:pPr>
              <w:numPr>
                <w:ilvl w:val="0"/>
                <w:numId w:val="12"/>
              </w:numPr>
              <w:tabs>
                <w:tab w:leader="none" w:pos="359" w:val="left"/>
              </w:tabs>
              <w:ind w:firstLine="0" w:left="0"/>
              <w:jc w:val="both"/>
              <w:rPr>
                <w:rFonts w:ascii="Times New Roman" w:hAnsi="Times New Roman"/>
                <w:sz w:val="24"/>
              </w:rPr>
            </w:pPr>
            <w:r>
              <w:rPr>
                <w:rFonts w:ascii="Times New Roman" w:hAnsi="Times New Roman"/>
                <w:sz w:val="24"/>
              </w:rPr>
              <w:t>«Выполнение работ по отражению результатов инвентаризации оборотных активов. Документальное оформление результатов инвентаризации материально-производственных запасов и незавершенного производства. Решение ситуационных задач».</w:t>
            </w:r>
          </w:p>
        </w:tc>
      </w:tr>
      <w:tr>
        <w:tc>
          <w:tcPr>
            <w:tcW w:type="dxa" w:w="2402"/>
            <w:gridSpan w:val="1"/>
            <w:vMerge w:val="continue"/>
          </w:tcPr>
          <w:p/>
        </w:tc>
        <w:tc>
          <w:tcPr>
            <w:tcW w:type="dxa" w:w="7091"/>
          </w:tcPr>
          <w:p w14:paraId="27050000">
            <w:pPr>
              <w:numPr>
                <w:ilvl w:val="0"/>
                <w:numId w:val="12"/>
              </w:numPr>
              <w:tabs>
                <w:tab w:leader="none" w:pos="359" w:val="left"/>
              </w:tabs>
              <w:ind w:firstLine="0" w:left="0"/>
              <w:jc w:val="both"/>
              <w:rPr>
                <w:rFonts w:ascii="Times New Roman" w:hAnsi="Times New Roman"/>
                <w:sz w:val="24"/>
              </w:rPr>
            </w:pPr>
            <w:r>
              <w:rPr>
                <w:rFonts w:ascii="Times New Roman" w:hAnsi="Times New Roman"/>
                <w:sz w:val="24"/>
              </w:rPr>
              <w:t>«Выполнение работ по отражению результатов инвентаризации оборотных активов. Отражение в учете и отчетности результатов инвентаризации. Выполнение работ</w:t>
            </w:r>
            <w:r>
              <w:rPr>
                <w:rFonts w:ascii="Times New Roman" w:hAnsi="Times New Roman"/>
                <w:b w:val="1"/>
                <w:sz w:val="24"/>
              </w:rPr>
              <w:t xml:space="preserve"> </w:t>
            </w:r>
            <w:r>
              <w:rPr>
                <w:rFonts w:ascii="Times New Roman" w:hAnsi="Times New Roman"/>
                <w:sz w:val="24"/>
              </w:rPr>
              <w:t>по отражению в учете пересортицы. Решение ситуационных задач».</w:t>
            </w:r>
          </w:p>
        </w:tc>
      </w:tr>
      <w:tr>
        <w:tc>
          <w:tcPr>
            <w:tcW w:type="dxa" w:w="2402"/>
            <w:vMerge w:val="restart"/>
          </w:tcPr>
          <w:p w14:paraId="28050000">
            <w:pPr>
              <w:ind/>
              <w:jc w:val="cente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TA1NDRkMTQtMDg1Yy00MDAxLWFiYzEtODljMDYzZTYyNmMwfOTo8fbo7+vo7eB8fMHz9ePg6/Ll8PHq4P8g8uX17e7r7uPo/yDv8O7i5eTl7ej/IOgg7vTu8Ozr5e3o/yDo7eLl7fLg8Ojn4Pbo6A==//ZjE0YTU5ODktMjE2OC00MWI3LWJjMDctYWVmMDhiYTllNDBhfPLl7OB80uXs4CA3fMjt4uXt8uDw6Ofg9uj/IOTl4ejy7vDx6u7pIOgg6vDl5Ojy7vDx6u7pIOfg5O7r5uXt7e7x8ugg7vDj4O3o5+D26Og=')"</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7. Инвентаризация дебиторской и кредиторской задолженности организации</w:t>
            </w:r>
            <w:r>
              <w:rPr>
                <w:rFonts w:ascii="Times New Roman" w:hAnsi="Times New Roman"/>
                <w:b w:val="1"/>
                <w:sz w:val="24"/>
                <w:highlight w:val="white"/>
              </w:rPr>
              <w:fldChar w:fldCharType="end"/>
            </w:r>
          </w:p>
        </w:tc>
        <w:tc>
          <w:tcPr>
            <w:tcW w:type="dxa" w:w="7091"/>
          </w:tcPr>
          <w:p w14:paraId="29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2A050000">
            <w:pPr>
              <w:rPr>
                <w:rFonts w:ascii="Times New Roman" w:hAnsi="Times New Roman"/>
                <w:sz w:val="24"/>
              </w:rPr>
            </w:pPr>
            <w:r>
              <w:rPr>
                <w:rFonts w:ascii="Times New Roman" w:hAnsi="Times New Roman"/>
                <w:sz w:val="24"/>
              </w:rPr>
              <w:t xml:space="preserve">Регламент проведения инвентаризации расчетов с контрагентами (дебиторами и кредиторами). </w:t>
            </w:r>
          </w:p>
          <w:p w14:paraId="2B050000">
            <w:pPr>
              <w:rPr>
                <w:rFonts w:ascii="Times New Roman" w:hAnsi="Times New Roman"/>
                <w:sz w:val="24"/>
              </w:rPr>
            </w:pPr>
            <w:r>
              <w:rPr>
                <w:rFonts w:ascii="Times New Roman" w:hAnsi="Times New Roman"/>
                <w:sz w:val="24"/>
              </w:rPr>
              <w:t xml:space="preserve">Документальное оформление результатов инвентаризации расчетов. </w:t>
            </w:r>
          </w:p>
          <w:p w14:paraId="2C050000">
            <w:pPr>
              <w:rPr>
                <w:rFonts w:ascii="Times New Roman" w:hAnsi="Times New Roman"/>
                <w:sz w:val="24"/>
              </w:rPr>
            </w:pPr>
            <w:r>
              <w:rPr>
                <w:rFonts w:ascii="Times New Roman" w:hAnsi="Times New Roman"/>
                <w:sz w:val="24"/>
              </w:rPr>
              <w:t>Выявление дебиторской задолженности, нереальной для взыскания.</w:t>
            </w:r>
          </w:p>
          <w:p w14:paraId="2D050000">
            <w:pPr>
              <w:rPr>
                <w:rFonts w:ascii="Times New Roman" w:hAnsi="Times New Roman"/>
                <w:sz w:val="24"/>
              </w:rPr>
            </w:pPr>
            <w:r>
              <w:rPr>
                <w:rFonts w:ascii="Times New Roman" w:hAnsi="Times New Roman"/>
                <w:sz w:val="24"/>
              </w:rPr>
              <w:t xml:space="preserve">Отражение результатов инвентаризации расчетов в бухгалтерском учете. </w:t>
            </w:r>
          </w:p>
          <w:p w14:paraId="2E050000">
            <w:pPr>
              <w:rPr>
                <w:rFonts w:ascii="Times New Roman" w:hAnsi="Times New Roman"/>
                <w:sz w:val="24"/>
              </w:rPr>
            </w:pPr>
            <w:r>
              <w:rPr>
                <w:rFonts w:ascii="Times New Roman" w:hAnsi="Times New Roman"/>
                <w:sz w:val="24"/>
              </w:rPr>
              <w:t>Порядок списания дебиторской и кредиторской задолженности, по которой истек срок исковой давности.</w:t>
            </w:r>
          </w:p>
        </w:tc>
      </w:tr>
      <w:tr>
        <w:tc>
          <w:tcPr>
            <w:tcW w:type="dxa" w:w="2402"/>
            <w:gridSpan w:val="1"/>
            <w:vMerge w:val="continue"/>
          </w:tcPr>
          <w:p/>
        </w:tc>
        <w:tc>
          <w:tcPr>
            <w:tcW w:type="dxa" w:w="7091"/>
          </w:tcPr>
          <w:p w14:paraId="2F05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402"/>
            <w:gridSpan w:val="1"/>
            <w:vMerge w:val="continue"/>
          </w:tcPr>
          <w:p/>
        </w:tc>
        <w:tc>
          <w:tcPr>
            <w:tcW w:type="dxa" w:w="7091"/>
          </w:tcPr>
          <w:p w14:paraId="30050000">
            <w:pPr>
              <w:ind/>
              <w:jc w:val="both"/>
              <w:rPr>
                <w:rFonts w:ascii="Times New Roman" w:hAnsi="Times New Roman"/>
                <w:sz w:val="24"/>
              </w:rPr>
            </w:pPr>
            <w:r>
              <w:rPr>
                <w:rFonts w:ascii="Times New Roman" w:hAnsi="Times New Roman"/>
                <w:sz w:val="24"/>
              </w:rPr>
              <w:t>1. «Выполнение работ по отражению результатов инвентаризации дебиторской задолженности организации.</w:t>
            </w:r>
            <w:r>
              <w:rPr>
                <w:rFonts w:ascii="Times New Roman" w:hAnsi="Times New Roman"/>
                <w:sz w:val="24"/>
              </w:rPr>
              <w:t xml:space="preserve"> Документальное оформление</w:t>
            </w:r>
            <w:r>
              <w:rPr>
                <w:rFonts w:ascii="Times New Roman" w:hAnsi="Times New Roman"/>
                <w:sz w:val="24"/>
              </w:rPr>
              <w:t xml:space="preserve"> результатов инвентаризации  и отражение их  в учете и отчетности. Решение ситуационных задач».</w:t>
            </w:r>
          </w:p>
        </w:tc>
      </w:tr>
      <w:tr>
        <w:tc>
          <w:tcPr>
            <w:tcW w:type="dxa" w:w="2402"/>
            <w:gridSpan w:val="1"/>
            <w:vMerge w:val="continue"/>
          </w:tcPr>
          <w:p/>
        </w:tc>
        <w:tc>
          <w:tcPr>
            <w:tcW w:type="dxa" w:w="7091"/>
          </w:tcPr>
          <w:p w14:paraId="31050000">
            <w:pPr>
              <w:ind/>
              <w:jc w:val="both"/>
              <w:rPr>
                <w:rFonts w:ascii="Times New Roman" w:hAnsi="Times New Roman"/>
                <w:sz w:val="24"/>
              </w:rPr>
            </w:pPr>
            <w:r>
              <w:rPr>
                <w:rFonts w:ascii="Times New Roman" w:hAnsi="Times New Roman"/>
                <w:sz w:val="24"/>
              </w:rPr>
              <w:t>2. «Выполнение работ по отражению результатов инвентаризации кредиторской задолженности организации.</w:t>
            </w:r>
            <w:r>
              <w:rPr>
                <w:rFonts w:ascii="Times New Roman" w:hAnsi="Times New Roman"/>
                <w:sz w:val="24"/>
              </w:rPr>
              <w:t xml:space="preserve"> Документальное оформление</w:t>
            </w:r>
            <w:r>
              <w:rPr>
                <w:rFonts w:ascii="Times New Roman" w:hAnsi="Times New Roman"/>
                <w:sz w:val="24"/>
              </w:rPr>
              <w:t xml:space="preserve"> и отражение их  в учете и отчетности. Решение ситуационных задач».</w:t>
            </w:r>
          </w:p>
        </w:tc>
      </w:tr>
      <w:tr>
        <w:tc>
          <w:tcPr>
            <w:tcW w:type="dxa" w:w="2402"/>
            <w:vMerge w:val="restart"/>
          </w:tcPr>
          <w:p w14:paraId="32050000">
            <w:pPr>
              <w:ind/>
              <w:jc w:val="cente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TA1NDRkMTQtMDg1Yy00MDAxLWFiYzEtODljMDYzZTYyNmMwfOTo8fbo7+vo7eB8fMHz9ePg6/Ll8PHq4P8g8uX17e7r7uPo/yDv8O7i5eTl7ej/IOgg7vTu8Ozr5e3o/yDo7eLl7fLg8Ojn4Pbo6A==//YjBjZjkxMTItNDUwNC00YWI3LWEwZWQtMjJjMmYxODdlYTlmfPLl7OB80uXs4CA4fMjt4uXt8uDw6Ofg9uj/IO3l5O7x8uD3IOgg7+7y5fD8IO7yIO/u8PfoIPbl7e3u8fLl6Swg9uXr5eLu4+4g9Ojt4O3x6PDu4uDt6P8sIOTu9e7k7uIg4fPk8/no9SDv5fDo7uTu4g==')"</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8. Инвентаризация недостач и потерь от порчи ценностей, целевого финансирования, доходов будущих периодов</w:t>
            </w:r>
            <w:r>
              <w:rPr>
                <w:rFonts w:ascii="Times New Roman" w:hAnsi="Times New Roman"/>
                <w:b w:val="1"/>
                <w:sz w:val="24"/>
                <w:highlight w:val="white"/>
              </w:rPr>
              <w:fldChar w:fldCharType="end"/>
            </w:r>
          </w:p>
        </w:tc>
        <w:tc>
          <w:tcPr>
            <w:tcW w:type="dxa" w:w="7091"/>
          </w:tcPr>
          <w:p w14:paraId="33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34050000">
            <w:pPr>
              <w:ind/>
              <w:jc w:val="both"/>
              <w:rPr>
                <w:rFonts w:ascii="Times New Roman" w:hAnsi="Times New Roman"/>
                <w:sz w:val="24"/>
              </w:rPr>
            </w:pPr>
            <w:r>
              <w:rPr>
                <w:rFonts w:ascii="Times New Roman" w:hAnsi="Times New Roman"/>
                <w:sz w:val="24"/>
              </w:rPr>
              <w:t xml:space="preserve">Обоснованность возникновения и порядок списания недостач и потерь от порчи ценностей. </w:t>
            </w:r>
          </w:p>
          <w:p w14:paraId="35050000">
            <w:pPr>
              <w:ind/>
              <w:jc w:val="both"/>
              <w:rPr>
                <w:rFonts w:ascii="Times New Roman" w:hAnsi="Times New Roman"/>
                <w:sz w:val="24"/>
              </w:rPr>
            </w:pPr>
            <w:r>
              <w:rPr>
                <w:rFonts w:ascii="Times New Roman" w:hAnsi="Times New Roman"/>
                <w:sz w:val="24"/>
              </w:rPr>
              <w:t xml:space="preserve">Проверка расходования средств на цели, предусмотренные целевыми программами и сметами расходов. </w:t>
            </w:r>
          </w:p>
          <w:p w14:paraId="36050000">
            <w:pPr>
              <w:ind/>
              <w:jc w:val="both"/>
              <w:rPr>
                <w:rFonts w:ascii="Times New Roman" w:hAnsi="Times New Roman"/>
                <w:sz w:val="24"/>
              </w:rPr>
            </w:pPr>
            <w:r>
              <w:rPr>
                <w:rFonts w:ascii="Times New Roman" w:hAnsi="Times New Roman"/>
                <w:sz w:val="24"/>
              </w:rPr>
              <w:t>Правомерность отнесения полученных доходов к доходам будущих периодов и порядок списания сумм доходов.</w:t>
            </w:r>
          </w:p>
        </w:tc>
      </w:tr>
      <w:tr>
        <w:tc>
          <w:tcPr>
            <w:tcW w:type="dxa" w:w="2402"/>
            <w:gridSpan w:val="1"/>
            <w:vMerge w:val="continue"/>
          </w:tcPr>
          <w:p/>
        </w:tc>
        <w:tc>
          <w:tcPr>
            <w:tcW w:type="dxa" w:w="7091"/>
          </w:tcPr>
          <w:p w14:paraId="37050000">
            <w:pPr>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402"/>
            <w:gridSpan w:val="1"/>
            <w:vMerge w:val="continue"/>
          </w:tcPr>
          <w:p/>
        </w:tc>
        <w:tc>
          <w:tcPr>
            <w:tcW w:type="dxa" w:w="7091"/>
          </w:tcPr>
          <w:p w14:paraId="38050000">
            <w:pPr>
              <w:ind/>
              <w:jc w:val="both"/>
              <w:rPr>
                <w:rFonts w:ascii="Times New Roman" w:hAnsi="Times New Roman"/>
                <w:sz w:val="24"/>
              </w:rPr>
            </w:pPr>
            <w:r>
              <w:rPr>
                <w:rFonts w:ascii="Times New Roman" w:hAnsi="Times New Roman"/>
                <w:sz w:val="24"/>
              </w:rPr>
              <w:t>1. «Выполнение работ по выявлению недостач и потерь от порчи ценностей и оформление в учете результатов инвентаризации. Решение ситуационных задач».</w:t>
            </w:r>
          </w:p>
        </w:tc>
      </w:tr>
      <w:tr>
        <w:tc>
          <w:tcPr>
            <w:tcW w:type="dxa" w:w="2402"/>
            <w:gridSpan w:val="1"/>
            <w:vMerge w:val="continue"/>
          </w:tcPr>
          <w:p/>
        </w:tc>
        <w:tc>
          <w:tcPr>
            <w:tcW w:type="dxa" w:w="7091"/>
          </w:tcPr>
          <w:p w14:paraId="39050000">
            <w:pPr>
              <w:ind/>
              <w:jc w:val="both"/>
              <w:rPr>
                <w:rFonts w:ascii="Times New Roman" w:hAnsi="Times New Roman"/>
                <w:sz w:val="24"/>
              </w:rPr>
            </w:pPr>
            <w:r>
              <w:rPr>
                <w:rFonts w:ascii="Times New Roman" w:hAnsi="Times New Roman"/>
                <w:sz w:val="24"/>
              </w:rPr>
              <w:t>2. «Выполнение работ по и</w:t>
            </w:r>
            <w:r>
              <w:rPr>
                <w:rFonts w:ascii="Times New Roman" w:hAnsi="Times New Roman"/>
                <w:sz w:val="24"/>
                <w:highlight w:val="white"/>
              </w:rPr>
              <w:t>нвентаризации</w:t>
            </w:r>
            <w:r>
              <w:rPr>
                <w:rFonts w:ascii="Times New Roman" w:hAnsi="Times New Roman"/>
                <w:sz w:val="24"/>
                <w:highlight w:val="white"/>
              </w:rPr>
              <w:t xml:space="preserve"> </w:t>
            </w:r>
            <w:r>
              <w:rPr>
                <w:rFonts w:ascii="Times New Roman" w:hAnsi="Times New Roman"/>
                <w:sz w:val="24"/>
                <w:highlight w:val="white"/>
              </w:rPr>
              <w:t>целевого</w:t>
            </w:r>
            <w:r>
              <w:rPr>
                <w:rFonts w:ascii="Times New Roman" w:hAnsi="Times New Roman"/>
                <w:sz w:val="24"/>
                <w:highlight w:val="white"/>
              </w:rPr>
              <w:t xml:space="preserve"> </w:t>
            </w:r>
            <w:r>
              <w:rPr>
                <w:rFonts w:ascii="Times New Roman" w:hAnsi="Times New Roman"/>
                <w:sz w:val="24"/>
                <w:highlight w:val="white"/>
              </w:rPr>
              <w:t>финансирования</w:t>
            </w:r>
            <w:r>
              <w:rPr>
                <w:rFonts w:ascii="Times New Roman" w:hAnsi="Times New Roman"/>
                <w:sz w:val="24"/>
                <w:highlight w:val="white"/>
              </w:rPr>
              <w:t xml:space="preserve"> и </w:t>
            </w:r>
            <w:r>
              <w:rPr>
                <w:rFonts w:ascii="Times New Roman" w:hAnsi="Times New Roman"/>
                <w:sz w:val="24"/>
                <w:highlight w:val="white"/>
              </w:rPr>
              <w:t>доходов будущих</w:t>
            </w:r>
            <w:r>
              <w:rPr>
                <w:rFonts w:ascii="Times New Roman" w:hAnsi="Times New Roman"/>
                <w:sz w:val="24"/>
                <w:highlight w:val="white"/>
              </w:rPr>
              <w:t xml:space="preserve"> </w:t>
            </w:r>
            <w:r>
              <w:rPr>
                <w:rFonts w:ascii="Times New Roman" w:hAnsi="Times New Roman"/>
                <w:sz w:val="24"/>
                <w:highlight w:val="white"/>
              </w:rPr>
              <w:t>периодов</w:t>
            </w:r>
            <w:r>
              <w:rPr>
                <w:rFonts w:ascii="Times New Roman" w:hAnsi="Times New Roman"/>
                <w:sz w:val="24"/>
              </w:rPr>
              <w:t xml:space="preserve"> и оформление в учете результатов инвентаризации. Решение ситуационных задач». </w:t>
            </w:r>
          </w:p>
        </w:tc>
      </w:tr>
      <w:tr>
        <w:tc>
          <w:tcPr>
            <w:tcW w:type="dxa" w:w="2402"/>
            <w:vMerge w:val="restart"/>
          </w:tcPr>
          <w:p w14:paraId="3A050000">
            <w:pPr>
              <w:ind/>
              <w:jc w:val="center"/>
              <w:rPr>
                <w:rFonts w:ascii="Times New Roman" w:hAnsi="Times New Roman"/>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TA1NDRkMTQtMDg1Yy00MDAxLWFiYzEtODljMDYzZTYyNmMwfOTo8fbo7+vo7eB8fMHz9ePg6/Ll8PHq4P8g8uX17e7r7uPo/yDv8O7i5eTl7ej/IOgg7vTu8Ozr5e3o/yDo7eLl7fLg8Ojn4Pbo6A==//NjIzYWZmMDYtYzcxMC00NGYyLWE1NTctNTJmODQwOTc0ZThhfPLl7OB80uXs4CA5fMjt4uXt8uDw6Ofg9uj/IOgg5eUg8O7r/CDiIPHo8fLl7OUg4u3z8vDl7e3l4+4g6u7t8vDu6/8=')"</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1.</w:t>
            </w:r>
            <w:r>
              <w:rPr>
                <w:rFonts w:ascii="Times New Roman" w:hAnsi="Times New Roman"/>
                <w:b w:val="1"/>
                <w:sz w:val="24"/>
                <w:highlight w:val="white"/>
              </w:rPr>
              <w:t>9. Инвентаризация и ее роль в системе внутреннего контроля</w:t>
            </w:r>
            <w:r>
              <w:rPr>
                <w:rFonts w:ascii="Times New Roman" w:hAnsi="Times New Roman"/>
                <w:b w:val="1"/>
                <w:sz w:val="24"/>
                <w:highlight w:val="white"/>
              </w:rPr>
              <w:fldChar w:fldCharType="end"/>
            </w:r>
          </w:p>
        </w:tc>
        <w:tc>
          <w:tcPr>
            <w:tcW w:type="dxa" w:w="7091"/>
          </w:tcPr>
          <w:p w14:paraId="3B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3C050000">
            <w:pPr>
              <w:ind/>
              <w:jc w:val="both"/>
              <w:rPr>
                <w:rFonts w:ascii="Times New Roman" w:hAnsi="Times New Roman"/>
                <w:sz w:val="24"/>
              </w:rPr>
            </w:pPr>
            <w:r>
              <w:rPr>
                <w:rFonts w:ascii="Times New Roman" w:hAnsi="Times New Roman"/>
                <w:sz w:val="24"/>
              </w:rPr>
              <w:t xml:space="preserve">Понятие внутреннего контроля.  </w:t>
            </w:r>
          </w:p>
          <w:p w14:paraId="3D050000">
            <w:pPr>
              <w:ind/>
              <w:jc w:val="both"/>
              <w:rPr>
                <w:rFonts w:ascii="Times New Roman" w:hAnsi="Times New Roman"/>
                <w:sz w:val="24"/>
              </w:rPr>
            </w:pPr>
            <w:r>
              <w:rPr>
                <w:rFonts w:ascii="Times New Roman" w:hAnsi="Times New Roman"/>
                <w:sz w:val="24"/>
              </w:rPr>
              <w:t>Цели и задачи внутреннего контроля.</w:t>
            </w:r>
          </w:p>
          <w:p w14:paraId="3E050000">
            <w:pPr>
              <w:ind/>
              <w:jc w:val="both"/>
              <w:rPr>
                <w:rFonts w:ascii="Times New Roman" w:hAnsi="Times New Roman"/>
                <w:sz w:val="24"/>
              </w:rPr>
            </w:pPr>
            <w:r>
              <w:rPr>
                <w:rFonts w:ascii="Times New Roman" w:hAnsi="Times New Roman"/>
                <w:sz w:val="24"/>
              </w:rPr>
              <w:t>Элементы внутреннего контроля.</w:t>
            </w:r>
          </w:p>
          <w:p w14:paraId="3F050000">
            <w:pPr>
              <w:ind/>
              <w:jc w:val="both"/>
              <w:rPr>
                <w:rFonts w:ascii="Times New Roman" w:hAnsi="Times New Roman"/>
                <w:sz w:val="24"/>
              </w:rPr>
            </w:pPr>
            <w:r>
              <w:rPr>
                <w:rFonts w:ascii="Times New Roman" w:hAnsi="Times New Roman"/>
                <w:sz w:val="24"/>
              </w:rPr>
              <w:t>Организация внутреннего контроля.</w:t>
            </w:r>
          </w:p>
          <w:p w14:paraId="40050000">
            <w:pPr>
              <w:ind/>
              <w:jc w:val="both"/>
              <w:rPr>
                <w:rFonts w:ascii="Times New Roman" w:hAnsi="Times New Roman"/>
                <w:sz w:val="24"/>
              </w:rPr>
            </w:pPr>
            <w:r>
              <w:rPr>
                <w:rFonts w:ascii="Times New Roman" w:hAnsi="Times New Roman"/>
                <w:sz w:val="24"/>
              </w:rPr>
              <w:t xml:space="preserve">Документирование внутреннего контроля. </w:t>
            </w:r>
          </w:p>
          <w:p w14:paraId="41050000">
            <w:pPr>
              <w:ind/>
              <w:jc w:val="both"/>
              <w:rPr>
                <w:rFonts w:ascii="Times New Roman" w:hAnsi="Times New Roman"/>
                <w:sz w:val="24"/>
              </w:rPr>
            </w:pPr>
            <w:r>
              <w:rPr>
                <w:rFonts w:ascii="Times New Roman" w:hAnsi="Times New Roman"/>
                <w:sz w:val="24"/>
              </w:rPr>
              <w:t>Подготовка и оформление завершающих материалов по результатам внутреннего контроля.</w:t>
            </w:r>
          </w:p>
        </w:tc>
      </w:tr>
      <w:tr>
        <w:tc>
          <w:tcPr>
            <w:tcW w:type="dxa" w:w="2402"/>
            <w:gridSpan w:val="1"/>
            <w:vMerge w:val="continue"/>
          </w:tcPr>
          <w:p/>
        </w:tc>
        <w:tc>
          <w:tcPr>
            <w:tcW w:type="dxa" w:w="7091"/>
          </w:tcPr>
          <w:p w14:paraId="42050000">
            <w:pPr>
              <w:ind/>
              <w:jc w:val="both"/>
              <w:rPr>
                <w:rFonts w:ascii="Times New Roman" w:hAnsi="Times New Roman"/>
                <w:sz w:val="24"/>
              </w:rPr>
            </w:pPr>
            <w:r>
              <w:rPr>
                <w:rFonts w:ascii="Times New Roman" w:hAnsi="Times New Roman"/>
                <w:b w:val="1"/>
                <w:sz w:val="24"/>
              </w:rPr>
              <w:t>В том числе практических занятий и лабораторных работ</w:t>
            </w:r>
          </w:p>
        </w:tc>
      </w:tr>
      <w:tr>
        <w:tc>
          <w:tcPr>
            <w:tcW w:type="dxa" w:w="2402"/>
            <w:gridSpan w:val="1"/>
            <w:vMerge w:val="continue"/>
          </w:tcPr>
          <w:p/>
        </w:tc>
        <w:tc>
          <w:tcPr>
            <w:tcW w:type="dxa" w:w="7091"/>
          </w:tcPr>
          <w:p w14:paraId="43050000">
            <w:pPr>
              <w:ind/>
              <w:jc w:val="both"/>
              <w:rPr>
                <w:rFonts w:ascii="Times New Roman" w:hAnsi="Times New Roman"/>
                <w:sz w:val="24"/>
              </w:rPr>
            </w:pPr>
            <w:r>
              <w:rPr>
                <w:rFonts w:ascii="Times New Roman" w:hAnsi="Times New Roman"/>
                <w:sz w:val="24"/>
              </w:rPr>
              <w:t>1. «Организация и методика проведения внутреннего контроля по объектам учета. Порядок формирования рабочих документов внутреннего контроля. Решение ситуационных задач».</w:t>
            </w:r>
          </w:p>
        </w:tc>
      </w:tr>
      <w:tr>
        <w:tc>
          <w:tcPr>
            <w:tcW w:type="dxa" w:w="2402"/>
            <w:gridSpan w:val="1"/>
            <w:vMerge w:val="continue"/>
          </w:tcPr>
          <w:p/>
        </w:tc>
        <w:tc>
          <w:tcPr>
            <w:tcW w:type="dxa" w:w="7091"/>
          </w:tcPr>
          <w:p w14:paraId="44050000">
            <w:pPr>
              <w:ind/>
              <w:jc w:val="both"/>
              <w:rPr>
                <w:rFonts w:ascii="Times New Roman" w:hAnsi="Times New Roman"/>
                <w:sz w:val="24"/>
              </w:rPr>
            </w:pPr>
            <w:r>
              <w:rPr>
                <w:rFonts w:ascii="Times New Roman" w:hAnsi="Times New Roman"/>
                <w:sz w:val="24"/>
              </w:rPr>
              <w:t>2. «Порядок формирования отчета о документальной проверке Решение ситуационных задач».</w:t>
            </w:r>
          </w:p>
        </w:tc>
      </w:tr>
      <w:tr>
        <w:tc>
          <w:tcPr>
            <w:tcW w:type="dxa" w:w="9493"/>
            <w:gridSpan w:val="2"/>
          </w:tcPr>
          <w:p w14:paraId="45050000">
            <w:pPr>
              <w:rPr>
                <w:rFonts w:ascii="Times New Roman" w:hAnsi="Times New Roman"/>
                <w:b w:val="1"/>
                <w:color w:val="000000"/>
                <w:highlight w:val="white"/>
              </w:rPr>
            </w:pPr>
            <w:r>
              <w:rPr>
                <w:rFonts w:ascii="Times New Roman" w:hAnsi="Times New Roman"/>
                <w:b w:val="1"/>
                <w:color w:val="000000"/>
                <w:highlight w:val="white"/>
              </w:rPr>
              <w:t>Раздел 2.</w:t>
            </w:r>
            <w:r>
              <w:rPr>
                <w:rFonts w:ascii="Times New Roman" w:hAnsi="Times New Roman"/>
                <w:b w:val="1"/>
                <w:color w:val="000000"/>
                <w:highlight w:val="white"/>
              </w:rPr>
              <w:t xml:space="preserve"> Технология составления бухгалтерской отчетности</w:t>
            </w:r>
            <w:r>
              <w:rPr>
                <w:rFonts w:ascii="Times New Roman" w:hAnsi="Times New Roman"/>
                <w:b w:val="1"/>
                <w:color w:val="000000"/>
                <w:highlight w:val="white"/>
              </w:rPr>
              <w:t xml:space="preserve"> 24 ч.</w:t>
            </w:r>
          </w:p>
        </w:tc>
      </w:tr>
      <w:tr>
        <w:tc>
          <w:tcPr>
            <w:tcW w:type="dxa" w:w="9493"/>
            <w:gridSpan w:val="2"/>
          </w:tcPr>
          <w:p w14:paraId="46050000">
            <w:pPr>
              <w:rPr>
                <w:rFonts w:ascii="Times New Roman" w:hAnsi="Times New Roman"/>
                <w:b w:val="1"/>
                <w:color w:val="000000"/>
                <w:highlight w:val="white"/>
              </w:rPr>
            </w:pPr>
            <w:r>
              <w:rPr>
                <w:rFonts w:ascii="Times New Roman" w:hAnsi="Times New Roman"/>
                <w:b w:val="1"/>
                <w:color w:val="000000"/>
                <w:highlight w:val="white"/>
              </w:rPr>
              <w:t>МДК 02.02 Технология составления бухгалтерской отчетности</w:t>
            </w:r>
          </w:p>
        </w:tc>
      </w:tr>
      <w:tr>
        <w:tc>
          <w:tcPr>
            <w:tcW w:type="dxa" w:w="2402"/>
            <w:vMerge w:val="restart"/>
          </w:tcPr>
          <w:p w14:paraId="47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OTI3NzY0YWMtMzlhMC00ZjUzLWExMTQtMTdhYzgwNzI0OWEyfOTo8fbo7+vo7eB8fNLl9e3u6+7j6P8g8e7x8uDi6+Xt6P8g4fP14+Dr8uXw8eru6SDu8vfl8u3u8fLo//YjIxMmU1MTUtYjFjZC00MGU2LTkyZDgtMDgwMWU5ZGYxYzg3fPLl7OB80uXs4CAxfM3u8Ozg8uji7e7lIPDl4/Pr6PDu4uDt6OUsIPHu8fLg4iDoIPHu5OXw5uDt6OUg4fP14+Dr8uXw8eru6SDu8vfl8u3u8fLo')"</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2.</w:t>
            </w:r>
            <w:r>
              <w:rPr>
                <w:rFonts w:ascii="Times New Roman" w:hAnsi="Times New Roman"/>
                <w:b w:val="1"/>
                <w:sz w:val="24"/>
                <w:highlight w:val="white"/>
              </w:rPr>
              <w:t>1. Нормативное регулирование, состав и содержание бухгалтерской отчетности</w:t>
            </w:r>
            <w:r>
              <w:rPr>
                <w:rFonts w:ascii="Times New Roman" w:hAnsi="Times New Roman"/>
                <w:b w:val="1"/>
                <w:sz w:val="24"/>
                <w:highlight w:val="white"/>
              </w:rPr>
              <w:fldChar w:fldCharType="end"/>
            </w:r>
          </w:p>
        </w:tc>
        <w:tc>
          <w:tcPr>
            <w:tcW w:type="dxa" w:w="7091"/>
          </w:tcPr>
          <w:p w14:paraId="48050000">
            <w:pPr>
              <w:rPr>
                <w:rFonts w:ascii="Times New Roman" w:hAnsi="Times New Roman"/>
                <w:b w:val="1"/>
                <w:sz w:val="24"/>
              </w:rPr>
            </w:pPr>
            <w:r>
              <w:rPr>
                <w:rFonts w:ascii="Times New Roman" w:hAnsi="Times New Roman"/>
                <w:b w:val="1"/>
                <w:sz w:val="24"/>
              </w:rPr>
              <w:t xml:space="preserve">Содержание </w:t>
            </w:r>
          </w:p>
        </w:tc>
      </w:tr>
      <w:tr>
        <w:tc>
          <w:tcPr>
            <w:tcW w:type="dxa" w:w="2402"/>
            <w:gridSpan w:val="1"/>
            <w:vMerge w:val="continue"/>
          </w:tcPr>
          <w:p/>
        </w:tc>
        <w:tc>
          <w:tcPr>
            <w:tcW w:type="dxa" w:w="7091"/>
          </w:tcPr>
          <w:p w14:paraId="49050000">
            <w:pPr>
              <w:rPr>
                <w:rFonts w:ascii="Times New Roman" w:hAnsi="Times New Roman"/>
                <w:sz w:val="24"/>
              </w:rPr>
            </w:pPr>
            <w:r>
              <w:rPr>
                <w:rFonts w:ascii="Times New Roman" w:hAnsi="Times New Roman"/>
                <w:sz w:val="24"/>
              </w:rPr>
              <w:t xml:space="preserve">Нормативное регулирование бухгалтерской отчетности в России.    </w:t>
            </w:r>
          </w:p>
          <w:p w14:paraId="4A050000">
            <w:pPr>
              <w:rPr>
                <w:rFonts w:ascii="Times New Roman" w:hAnsi="Times New Roman"/>
                <w:sz w:val="24"/>
              </w:rPr>
            </w:pPr>
            <w:r>
              <w:rPr>
                <w:rFonts w:ascii="Times New Roman" w:hAnsi="Times New Roman"/>
                <w:sz w:val="24"/>
              </w:rPr>
              <w:t>Виды и пользователи бухгалтерской отчетности.</w:t>
            </w:r>
          </w:p>
          <w:p w14:paraId="4B050000">
            <w:pPr>
              <w:rPr>
                <w:rFonts w:ascii="Times New Roman" w:hAnsi="Times New Roman"/>
                <w:sz w:val="24"/>
              </w:rPr>
            </w:pPr>
            <w:r>
              <w:rPr>
                <w:rFonts w:ascii="Times New Roman" w:hAnsi="Times New Roman"/>
                <w:sz w:val="24"/>
              </w:rPr>
              <w:t>Законодательные основы формирования бухгалтерской отчетности.</w:t>
            </w:r>
          </w:p>
          <w:p w14:paraId="4C050000">
            <w:pPr>
              <w:rPr>
                <w:rFonts w:ascii="Times New Roman" w:hAnsi="Times New Roman"/>
                <w:sz w:val="24"/>
              </w:rPr>
            </w:pPr>
            <w:r>
              <w:rPr>
                <w:rFonts w:ascii="Times New Roman" w:hAnsi="Times New Roman"/>
                <w:sz w:val="24"/>
              </w:rPr>
              <w:t>Состав годовой и промежуточной бухгалтерской отчетности.</w:t>
            </w:r>
          </w:p>
          <w:p w14:paraId="4D050000">
            <w:pPr>
              <w:rPr>
                <w:rFonts w:ascii="Times New Roman" w:hAnsi="Times New Roman"/>
                <w:b w:val="1"/>
                <w:sz w:val="24"/>
              </w:rPr>
            </w:pPr>
            <w:r>
              <w:rPr>
                <w:rFonts w:ascii="Times New Roman" w:hAnsi="Times New Roman"/>
                <w:sz w:val="24"/>
              </w:rPr>
              <w:t>Адаптация бухгалтерской отчетности к международным стандартам финансовой отчетности.</w:t>
            </w:r>
          </w:p>
        </w:tc>
      </w:tr>
      <w:tr>
        <w:tc>
          <w:tcPr>
            <w:tcW w:type="dxa" w:w="2402"/>
            <w:gridSpan w:val="1"/>
            <w:vMerge w:val="continue"/>
          </w:tcPr>
          <w:p/>
        </w:tc>
        <w:tc>
          <w:tcPr>
            <w:tcW w:type="dxa" w:w="7091"/>
          </w:tcPr>
          <w:p w14:paraId="4E050000">
            <w:pPr>
              <w:rPr>
                <w:rFonts w:ascii="Times New Roman" w:hAnsi="Times New Roman"/>
                <w:b w:val="1"/>
                <w:sz w:val="24"/>
              </w:rPr>
            </w:pPr>
            <w:r>
              <w:rPr>
                <w:rFonts w:ascii="Times New Roman" w:hAnsi="Times New Roman"/>
                <w:b w:val="1"/>
                <w:sz w:val="24"/>
              </w:rPr>
              <w:t>В том числе практических и лабораторных занятий</w:t>
            </w:r>
          </w:p>
        </w:tc>
      </w:tr>
      <w:tr>
        <w:tc>
          <w:tcPr>
            <w:tcW w:type="dxa" w:w="2402"/>
            <w:gridSpan w:val="1"/>
            <w:vMerge w:val="continue"/>
          </w:tcPr>
          <w:p/>
        </w:tc>
        <w:tc>
          <w:tcPr>
            <w:tcW w:type="dxa" w:w="7091"/>
          </w:tcPr>
          <w:p w14:paraId="4F050000">
            <w:pPr>
              <w:ind/>
              <w:jc w:val="both"/>
              <w:rPr>
                <w:rFonts w:ascii="Times New Roman" w:hAnsi="Times New Roman"/>
                <w:sz w:val="24"/>
              </w:rPr>
            </w:pPr>
            <w:r>
              <w:rPr>
                <w:rFonts w:ascii="Times New Roman" w:hAnsi="Times New Roman"/>
                <w:sz w:val="24"/>
              </w:rPr>
              <w:t>1. «</w:t>
            </w:r>
            <w:r>
              <w:rPr>
                <w:rFonts w:ascii="Times New Roman" w:hAnsi="Times New Roman"/>
                <w:sz w:val="24"/>
                <w:highlight w:val="white"/>
              </w:rPr>
              <w:fldChar w:fldCharType="begin"/>
            </w:r>
            <w:r>
              <w:rPr>
                <w:rFonts w:ascii="Times New Roman" w:hAnsi="Times New Roman"/>
                <w:sz w:val="24"/>
                <w:highlight w:val="white"/>
              </w:rPr>
              <w:instrText>HYPERLINK "javascript:__doPostBack('ctl00$ctl00$ParentContent$ContentLeftPart$tvTema','sOTI3NzY0YWMtMzlhMC00ZjUzLWExMTQtMTdhYzgwNzI0OWEyfOTo8fbo7+vo7eB8fNLl9e3u6+7j6P8g8e7x8uDi6+Xt6P8g4fP14+Dr8uXw8eru6SDu8vfl8u3u8fLo//YjIxMmU1MTUtYjFjZC00MGU2LTkyZDgtMDgwMWU5ZGYxYzg3fPLl7OB80uXs4CAxfM3u8Ozg8uji7e7lIPDl4/Pr6PDu4uDt6OUsIPHu8fLg4iDoIPHu5OXw5uDt6OUg4fP14+Dr8uXw8eru6SDu8vfl8u3u8fLo')"</w:instrText>
            </w:r>
            <w:r>
              <w:rPr>
                <w:rFonts w:ascii="Times New Roman" w:hAnsi="Times New Roman"/>
                <w:sz w:val="24"/>
                <w:highlight w:val="white"/>
              </w:rPr>
              <w:fldChar w:fldCharType="separate"/>
            </w:r>
            <w:r>
              <w:rPr>
                <w:rFonts w:ascii="Times New Roman" w:hAnsi="Times New Roman"/>
                <w:sz w:val="24"/>
                <w:highlight w:val="white"/>
              </w:rPr>
              <w:t>Нормативное регулирование, состав и содержание бухгалтерской отчетности</w:t>
            </w:r>
            <w:r>
              <w:rPr>
                <w:rFonts w:ascii="Times New Roman" w:hAnsi="Times New Roman"/>
                <w:sz w:val="24"/>
                <w:highlight w:val="white"/>
              </w:rPr>
              <w:fldChar w:fldCharType="end"/>
            </w:r>
            <w:r>
              <w:rPr>
                <w:rFonts w:ascii="Times New Roman" w:hAnsi="Times New Roman"/>
                <w:sz w:val="24"/>
              </w:rPr>
              <w:t>. Решение ситуационных задач».</w:t>
            </w:r>
          </w:p>
        </w:tc>
      </w:tr>
      <w:tr>
        <w:tc>
          <w:tcPr>
            <w:tcW w:type="dxa" w:w="2402"/>
            <w:vMerge w:val="restart"/>
          </w:tcPr>
          <w:p w14:paraId="50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OTI3NzY0YWMtMzlhMC00ZjUzLWExMTQtMTdhYzgwNzI0OWEyfOTo8fbo7+vo7eB8fNLl9e3u6+7j6P8g8e7x8uDi6+Xt6P8g4fP14+Dr8uXw8eru6SDu8vfl8u3u8fLo//NTdlMGE5YzUtN2YzNy00YzQ0LTlmOWUtMmY5Y2VhODQyZTM2fPLl7OB80uXs4CAyfNLl9e3o6uAg8e7x8uDi6+Xt6P8g4fP14+Dr8uXw8eru4+4g4eDr4O3x4A==')"</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2.</w:t>
            </w:r>
            <w:r>
              <w:rPr>
                <w:rFonts w:ascii="Times New Roman" w:hAnsi="Times New Roman"/>
                <w:b w:val="1"/>
                <w:sz w:val="24"/>
                <w:highlight w:val="white"/>
              </w:rPr>
              <w:t>2. Техника составления бухгалтерского баланса</w:t>
            </w:r>
            <w:r>
              <w:rPr>
                <w:rFonts w:ascii="Times New Roman" w:hAnsi="Times New Roman"/>
                <w:b w:val="1"/>
                <w:sz w:val="24"/>
                <w:highlight w:val="white"/>
              </w:rPr>
              <w:fldChar w:fldCharType="end"/>
            </w:r>
          </w:p>
        </w:tc>
        <w:tc>
          <w:tcPr>
            <w:tcW w:type="dxa" w:w="7091"/>
          </w:tcPr>
          <w:p w14:paraId="51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52050000">
            <w:pPr>
              <w:rPr>
                <w:rFonts w:ascii="Times New Roman" w:hAnsi="Times New Roman"/>
                <w:sz w:val="24"/>
              </w:rPr>
            </w:pPr>
            <w:r>
              <w:rPr>
                <w:rFonts w:ascii="Times New Roman" w:hAnsi="Times New Roman"/>
                <w:sz w:val="24"/>
              </w:rPr>
              <w:t>Структура и содержание бухгалтерского баланса.</w:t>
            </w:r>
          </w:p>
          <w:p w14:paraId="53050000">
            <w:pPr>
              <w:rPr>
                <w:rFonts w:ascii="Times New Roman" w:hAnsi="Times New Roman"/>
                <w:sz w:val="24"/>
              </w:rPr>
            </w:pPr>
            <w:r>
              <w:rPr>
                <w:rFonts w:ascii="Times New Roman" w:hAnsi="Times New Roman"/>
                <w:sz w:val="24"/>
              </w:rPr>
              <w:t>Виды бухгалтерских балансов.</w:t>
            </w:r>
          </w:p>
          <w:p w14:paraId="54050000">
            <w:pPr>
              <w:rPr>
                <w:rFonts w:ascii="Times New Roman" w:hAnsi="Times New Roman"/>
                <w:sz w:val="24"/>
              </w:rPr>
            </w:pPr>
            <w:r>
              <w:rPr>
                <w:rFonts w:ascii="Times New Roman" w:hAnsi="Times New Roman"/>
                <w:sz w:val="24"/>
              </w:rPr>
              <w:t>Подготовительные работы в бухгалтерии перед составлением бухгалтерской отчетности.</w:t>
            </w:r>
          </w:p>
          <w:p w14:paraId="55050000">
            <w:pPr>
              <w:rPr>
                <w:rFonts w:ascii="Times New Roman" w:hAnsi="Times New Roman"/>
                <w:sz w:val="24"/>
              </w:rPr>
            </w:pPr>
            <w:r>
              <w:rPr>
                <w:rFonts w:ascii="Times New Roman" w:hAnsi="Times New Roman"/>
                <w:sz w:val="24"/>
              </w:rPr>
              <w:t>Характеристика и техника составления статей актива бухгалтерского баланса.</w:t>
            </w:r>
          </w:p>
          <w:p w14:paraId="56050000">
            <w:pPr>
              <w:rPr>
                <w:rFonts w:ascii="Times New Roman" w:hAnsi="Times New Roman"/>
                <w:sz w:val="24"/>
              </w:rPr>
            </w:pPr>
            <w:r>
              <w:rPr>
                <w:rFonts w:ascii="Times New Roman" w:hAnsi="Times New Roman"/>
                <w:sz w:val="24"/>
              </w:rPr>
              <w:t>Характеристика и техника составления статей пассива баланса.</w:t>
            </w:r>
          </w:p>
          <w:p w14:paraId="57050000">
            <w:pPr>
              <w:rPr>
                <w:rFonts w:ascii="Times New Roman" w:hAnsi="Times New Roman"/>
                <w:sz w:val="24"/>
              </w:rPr>
            </w:pPr>
            <w:r>
              <w:rPr>
                <w:rFonts w:ascii="Times New Roman" w:hAnsi="Times New Roman"/>
                <w:sz w:val="24"/>
              </w:rPr>
              <w:t>Ответственность за непредставление или представление недостоверной отчетности.</w:t>
            </w:r>
          </w:p>
        </w:tc>
      </w:tr>
      <w:tr>
        <w:tc>
          <w:tcPr>
            <w:tcW w:type="dxa" w:w="2402"/>
            <w:gridSpan w:val="1"/>
            <w:vMerge w:val="continue"/>
          </w:tcPr>
          <w:p/>
        </w:tc>
        <w:tc>
          <w:tcPr>
            <w:tcW w:type="dxa" w:w="7091"/>
          </w:tcPr>
          <w:p w14:paraId="58050000">
            <w:pPr>
              <w:rPr>
                <w:rFonts w:ascii="Times New Roman" w:hAnsi="Times New Roman"/>
                <w:sz w:val="24"/>
              </w:rPr>
            </w:pPr>
            <w:r>
              <w:rPr>
                <w:rFonts w:ascii="Times New Roman" w:hAnsi="Times New Roman"/>
                <w:b w:val="1"/>
                <w:sz w:val="24"/>
              </w:rPr>
              <w:t>В том числе практических и лабораторных занятий</w:t>
            </w:r>
          </w:p>
        </w:tc>
      </w:tr>
      <w:tr>
        <w:tc>
          <w:tcPr>
            <w:tcW w:type="dxa" w:w="2402"/>
            <w:gridSpan w:val="1"/>
            <w:vMerge w:val="continue"/>
          </w:tcPr>
          <w:p/>
        </w:tc>
        <w:tc>
          <w:tcPr>
            <w:tcW w:type="dxa" w:w="7091"/>
          </w:tcPr>
          <w:p w14:paraId="59050000">
            <w:pPr>
              <w:rPr>
                <w:rFonts w:ascii="Times New Roman" w:hAnsi="Times New Roman"/>
                <w:b w:val="1"/>
                <w:sz w:val="24"/>
              </w:rPr>
            </w:pPr>
            <w:r>
              <w:rPr>
                <w:rFonts w:ascii="Times New Roman" w:hAnsi="Times New Roman"/>
                <w:sz w:val="24"/>
              </w:rPr>
              <w:t>1. Подготовительные работы, предшествующие составлению бухгалтерского баланса.</w:t>
            </w:r>
          </w:p>
        </w:tc>
      </w:tr>
      <w:tr>
        <w:tc>
          <w:tcPr>
            <w:tcW w:type="dxa" w:w="2402"/>
            <w:gridSpan w:val="1"/>
            <w:vMerge w:val="continue"/>
          </w:tcPr>
          <w:p/>
        </w:tc>
        <w:tc>
          <w:tcPr>
            <w:tcW w:type="dxa" w:w="7091"/>
          </w:tcPr>
          <w:p w14:paraId="5A050000">
            <w:pPr>
              <w:rPr>
                <w:rFonts w:ascii="Times New Roman" w:hAnsi="Times New Roman"/>
                <w:sz w:val="24"/>
              </w:rPr>
            </w:pPr>
            <w:r>
              <w:rPr>
                <w:rFonts w:ascii="Times New Roman" w:hAnsi="Times New Roman"/>
                <w:sz w:val="24"/>
              </w:rPr>
              <w:t>2. Характеристика и техника заполнения статей актива бухгалтерского баланса.</w:t>
            </w:r>
          </w:p>
        </w:tc>
      </w:tr>
      <w:tr>
        <w:tc>
          <w:tcPr>
            <w:tcW w:type="dxa" w:w="2402"/>
            <w:gridSpan w:val="1"/>
            <w:vMerge w:val="continue"/>
          </w:tcPr>
          <w:p/>
        </w:tc>
        <w:tc>
          <w:tcPr>
            <w:tcW w:type="dxa" w:w="7091"/>
          </w:tcPr>
          <w:p w14:paraId="5B050000">
            <w:pPr>
              <w:rPr>
                <w:rFonts w:ascii="Times New Roman" w:hAnsi="Times New Roman"/>
                <w:sz w:val="24"/>
              </w:rPr>
            </w:pPr>
            <w:r>
              <w:rPr>
                <w:rFonts w:ascii="Times New Roman" w:hAnsi="Times New Roman"/>
                <w:sz w:val="24"/>
              </w:rPr>
              <w:t>3. Характеристика и техника заполнения статей пассива баланса.</w:t>
            </w:r>
          </w:p>
        </w:tc>
      </w:tr>
      <w:tr>
        <w:tc>
          <w:tcPr>
            <w:tcW w:type="dxa" w:w="2402"/>
            <w:gridSpan w:val="1"/>
            <w:vMerge w:val="continue"/>
          </w:tcPr>
          <w:p/>
        </w:tc>
        <w:tc>
          <w:tcPr>
            <w:tcW w:type="dxa" w:w="7091"/>
          </w:tcPr>
          <w:p w14:paraId="5C050000">
            <w:pPr>
              <w:rPr>
                <w:rFonts w:ascii="Times New Roman" w:hAnsi="Times New Roman"/>
                <w:sz w:val="24"/>
              </w:rPr>
            </w:pPr>
            <w:r>
              <w:rPr>
                <w:rFonts w:ascii="Times New Roman" w:hAnsi="Times New Roman"/>
                <w:sz w:val="24"/>
              </w:rPr>
              <w:t xml:space="preserve">4. </w:t>
            </w:r>
            <w:r>
              <w:rPr>
                <w:rFonts w:ascii="Times New Roman" w:hAnsi="Times New Roman"/>
                <w:sz w:val="24"/>
              </w:rPr>
              <w:t>Взаимоувязка</w:t>
            </w:r>
            <w:r>
              <w:rPr>
                <w:rFonts w:ascii="Times New Roman" w:hAnsi="Times New Roman"/>
                <w:sz w:val="24"/>
              </w:rPr>
              <w:t xml:space="preserve"> статей баланса с другими формами.</w:t>
            </w:r>
          </w:p>
        </w:tc>
      </w:tr>
      <w:tr>
        <w:tc>
          <w:tcPr>
            <w:tcW w:type="dxa" w:w="2402"/>
            <w:vMerge w:val="restart"/>
          </w:tcPr>
          <w:p w14:paraId="5D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OTI3NzY0YWMtMzlhMC00ZjUzLWExMTQtMTdhYzgwNzI0OWEyfOTo8fbo7+vo7eB8fNLl9e3u6+7j6P8g8e7x8uDi6+Xt6P8g4fP14+Dr8uXw8eru6SDu8vfl8u3u8fLo//M2ExYTdhYjQtYmRiMy00OGUyLTk1ODAtZDU1NTg5YmU3Y2JkfPLl7OB80uXs4CAzfM7y9+XyIO4g9Ojt4O3x7uL79SDw5efz6/zy4PLg9SDoIPLl9e3o6uAg5ePuIPHu8fLg4uvl7ej/Lg==')"</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2.</w:t>
            </w:r>
            <w:r>
              <w:rPr>
                <w:rFonts w:ascii="Times New Roman" w:hAnsi="Times New Roman"/>
                <w:b w:val="1"/>
                <w:sz w:val="24"/>
                <w:highlight w:val="white"/>
              </w:rPr>
              <w:t>3. Отчет о финансовых результатах и техника его составления.</w:t>
            </w:r>
            <w:r>
              <w:rPr>
                <w:rFonts w:ascii="Times New Roman" w:hAnsi="Times New Roman"/>
                <w:b w:val="1"/>
                <w:sz w:val="24"/>
                <w:highlight w:val="white"/>
              </w:rPr>
              <w:fldChar w:fldCharType="end"/>
            </w:r>
          </w:p>
        </w:tc>
        <w:tc>
          <w:tcPr>
            <w:tcW w:type="dxa" w:w="7091"/>
          </w:tcPr>
          <w:p w14:paraId="5E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5F050000">
            <w:pPr>
              <w:rPr>
                <w:rFonts w:ascii="Times New Roman" w:hAnsi="Times New Roman"/>
                <w:sz w:val="24"/>
              </w:rPr>
            </w:pPr>
            <w:r>
              <w:rPr>
                <w:rFonts w:ascii="Times New Roman" w:hAnsi="Times New Roman"/>
                <w:sz w:val="24"/>
              </w:rPr>
              <w:t>Назначение отчета о финансовых результатах.</w:t>
            </w:r>
          </w:p>
          <w:p w14:paraId="60050000">
            <w:pPr>
              <w:rPr>
                <w:rFonts w:ascii="Times New Roman" w:hAnsi="Times New Roman"/>
                <w:sz w:val="24"/>
              </w:rPr>
            </w:pPr>
            <w:r>
              <w:rPr>
                <w:rFonts w:ascii="Times New Roman" w:hAnsi="Times New Roman"/>
                <w:sz w:val="24"/>
              </w:rPr>
              <w:t>Содержание и характеристики статей отчета о финансовых результатах.</w:t>
            </w:r>
          </w:p>
          <w:p w14:paraId="61050000">
            <w:pPr>
              <w:rPr>
                <w:rFonts w:ascii="Times New Roman" w:hAnsi="Times New Roman"/>
                <w:sz w:val="24"/>
              </w:rPr>
            </w:pPr>
            <w:r>
              <w:rPr>
                <w:rFonts w:ascii="Times New Roman" w:hAnsi="Times New Roman"/>
                <w:sz w:val="24"/>
              </w:rPr>
              <w:t>Техника составления отчета о финансовых результатах.</w:t>
            </w:r>
          </w:p>
        </w:tc>
      </w:tr>
      <w:tr>
        <w:tc>
          <w:tcPr>
            <w:tcW w:type="dxa" w:w="2402"/>
            <w:gridSpan w:val="1"/>
            <w:vMerge w:val="continue"/>
          </w:tcPr>
          <w:p/>
        </w:tc>
        <w:tc>
          <w:tcPr>
            <w:tcW w:type="dxa" w:w="7091"/>
          </w:tcPr>
          <w:p w14:paraId="62050000">
            <w:pPr>
              <w:rPr>
                <w:rFonts w:ascii="Times New Roman" w:hAnsi="Times New Roman"/>
                <w:sz w:val="24"/>
              </w:rPr>
            </w:pPr>
            <w:r>
              <w:rPr>
                <w:rFonts w:ascii="Times New Roman" w:hAnsi="Times New Roman"/>
                <w:b w:val="1"/>
                <w:sz w:val="24"/>
              </w:rPr>
              <w:t>В том числе практических и лабораторных занятий</w:t>
            </w:r>
          </w:p>
        </w:tc>
      </w:tr>
      <w:tr>
        <w:tc>
          <w:tcPr>
            <w:tcW w:type="dxa" w:w="2402"/>
            <w:gridSpan w:val="1"/>
            <w:vMerge w:val="continue"/>
          </w:tcPr>
          <w:p/>
        </w:tc>
        <w:tc>
          <w:tcPr>
            <w:tcW w:type="dxa" w:w="7091"/>
          </w:tcPr>
          <w:p w14:paraId="63050000">
            <w:pPr>
              <w:rPr>
                <w:rFonts w:ascii="Times New Roman" w:hAnsi="Times New Roman"/>
                <w:sz w:val="24"/>
              </w:rPr>
            </w:pPr>
            <w:r>
              <w:rPr>
                <w:rFonts w:ascii="Times New Roman" w:hAnsi="Times New Roman"/>
                <w:sz w:val="24"/>
              </w:rPr>
              <w:t>1.Техника составления отчета о финансовых результатах</w:t>
            </w:r>
          </w:p>
        </w:tc>
      </w:tr>
      <w:tr>
        <w:tc>
          <w:tcPr>
            <w:tcW w:type="dxa" w:w="2402"/>
            <w:gridSpan w:val="1"/>
            <w:vMerge w:val="continue"/>
          </w:tcPr>
          <w:p/>
        </w:tc>
        <w:tc>
          <w:tcPr>
            <w:tcW w:type="dxa" w:w="7091"/>
          </w:tcPr>
          <w:p w14:paraId="64050000">
            <w:pPr>
              <w:rPr>
                <w:rFonts w:ascii="Times New Roman" w:hAnsi="Times New Roman"/>
                <w:sz w:val="24"/>
              </w:rPr>
            </w:pPr>
            <w:r>
              <w:rPr>
                <w:rFonts w:ascii="Times New Roman" w:hAnsi="Times New Roman"/>
                <w:sz w:val="24"/>
              </w:rPr>
              <w:t>2.Расчет налога на прибыль</w:t>
            </w:r>
          </w:p>
        </w:tc>
      </w:tr>
      <w:tr>
        <w:tc>
          <w:tcPr>
            <w:tcW w:type="dxa" w:w="2402"/>
            <w:gridSpan w:val="1"/>
            <w:vMerge w:val="continue"/>
          </w:tcPr>
          <w:p/>
        </w:tc>
        <w:tc>
          <w:tcPr>
            <w:tcW w:type="dxa" w:w="7091"/>
          </w:tcPr>
          <w:p w14:paraId="65050000">
            <w:pPr>
              <w:rPr>
                <w:rFonts w:ascii="Times New Roman" w:hAnsi="Times New Roman"/>
                <w:sz w:val="24"/>
              </w:rPr>
            </w:pPr>
            <w:r>
              <w:rPr>
                <w:rFonts w:ascii="Times New Roman" w:hAnsi="Times New Roman"/>
                <w:sz w:val="24"/>
              </w:rPr>
              <w:t>3.Взаимоувязка показателей отчета с другими формами отчетности</w:t>
            </w:r>
          </w:p>
        </w:tc>
      </w:tr>
      <w:tr>
        <w:tc>
          <w:tcPr>
            <w:tcW w:type="dxa" w:w="2402"/>
            <w:vMerge w:val="restart"/>
          </w:tcPr>
          <w:p w14:paraId="66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OTI3NzY0YWMtMzlhMC00ZjUzLWExMTQtMTdhYzgwNzI0OWEyfOTo8fbo7+vo7eB8fNLl9e3u6+7j6P8g8e7x8uDi6+Xt6P8g4fP14+Dr8uXw8eru6SDu8vfl8u3u8fLo//M2E0ZjAyNTMtNjgwMC00NjNmLTg5MzUtY2UzMDA2NGMxNTNlfPLl7OB80uXs4CA0fM3g5+3g9+Xt6OUg6CDy5fXt6OrgIPHu8fLg4uvl7ej/IO7y9+Xy4CDu4SDo5+zl7eXt6P/1IOrg7+jy4Ovg')"</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2.</w:t>
            </w:r>
            <w:r>
              <w:rPr>
                <w:rFonts w:ascii="Times New Roman" w:hAnsi="Times New Roman"/>
                <w:b w:val="1"/>
                <w:sz w:val="24"/>
                <w:highlight w:val="white"/>
              </w:rPr>
              <w:t>4. Назначение и техника составления отчета об изменениях капитала</w:t>
            </w:r>
            <w:r>
              <w:rPr>
                <w:rFonts w:ascii="Times New Roman" w:hAnsi="Times New Roman"/>
                <w:b w:val="1"/>
                <w:sz w:val="24"/>
                <w:highlight w:val="white"/>
              </w:rPr>
              <w:fldChar w:fldCharType="end"/>
            </w:r>
          </w:p>
        </w:tc>
        <w:tc>
          <w:tcPr>
            <w:tcW w:type="dxa" w:w="7091"/>
          </w:tcPr>
          <w:p w14:paraId="67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68050000">
            <w:pPr>
              <w:rPr>
                <w:rFonts w:ascii="Times New Roman" w:hAnsi="Times New Roman"/>
                <w:sz w:val="24"/>
              </w:rPr>
            </w:pPr>
            <w:r>
              <w:rPr>
                <w:rFonts w:ascii="Times New Roman" w:hAnsi="Times New Roman"/>
                <w:sz w:val="24"/>
              </w:rPr>
              <w:t>Назначение отчета о движении капитала, его структура и содержание разделов.</w:t>
            </w:r>
          </w:p>
          <w:p w14:paraId="69050000">
            <w:pPr>
              <w:rPr>
                <w:rFonts w:ascii="Times New Roman" w:hAnsi="Times New Roman"/>
                <w:sz w:val="24"/>
              </w:rPr>
            </w:pPr>
            <w:r>
              <w:rPr>
                <w:rFonts w:ascii="Times New Roman" w:hAnsi="Times New Roman"/>
                <w:sz w:val="24"/>
              </w:rPr>
              <w:t>Техника составления отчета об изменении капитала.</w:t>
            </w:r>
          </w:p>
          <w:p w14:paraId="6A050000">
            <w:pPr>
              <w:rPr>
                <w:rFonts w:ascii="Times New Roman" w:hAnsi="Times New Roman"/>
                <w:sz w:val="24"/>
              </w:rPr>
            </w:pPr>
            <w:r>
              <w:rPr>
                <w:rFonts w:ascii="Times New Roman" w:hAnsi="Times New Roman"/>
                <w:sz w:val="24"/>
              </w:rPr>
              <w:t>Типичные ошибки составления и идентичность показателей.</w:t>
            </w:r>
          </w:p>
        </w:tc>
      </w:tr>
      <w:tr>
        <w:tc>
          <w:tcPr>
            <w:tcW w:type="dxa" w:w="2402"/>
            <w:gridSpan w:val="1"/>
            <w:vMerge w:val="continue"/>
          </w:tcPr>
          <w:p/>
        </w:tc>
        <w:tc>
          <w:tcPr>
            <w:tcW w:type="dxa" w:w="7091"/>
          </w:tcPr>
          <w:p w14:paraId="6B050000">
            <w:pPr>
              <w:rPr>
                <w:rFonts w:ascii="Times New Roman" w:hAnsi="Times New Roman"/>
                <w:sz w:val="24"/>
              </w:rPr>
            </w:pPr>
            <w:r>
              <w:rPr>
                <w:rFonts w:ascii="Times New Roman" w:hAnsi="Times New Roman"/>
                <w:b w:val="1"/>
                <w:sz w:val="24"/>
              </w:rPr>
              <w:t>В том числе практических и лабораторных занятий</w:t>
            </w:r>
          </w:p>
        </w:tc>
      </w:tr>
      <w:tr>
        <w:tc>
          <w:tcPr>
            <w:tcW w:type="dxa" w:w="2402"/>
            <w:gridSpan w:val="1"/>
            <w:vMerge w:val="continue"/>
          </w:tcPr>
          <w:p/>
        </w:tc>
        <w:tc>
          <w:tcPr>
            <w:tcW w:type="dxa" w:w="7091"/>
          </w:tcPr>
          <w:p w14:paraId="6C050000">
            <w:pPr>
              <w:rPr>
                <w:rFonts w:ascii="Times New Roman" w:hAnsi="Times New Roman"/>
                <w:sz w:val="24"/>
              </w:rPr>
            </w:pPr>
            <w:r>
              <w:rPr>
                <w:rFonts w:ascii="Times New Roman" w:hAnsi="Times New Roman"/>
                <w:sz w:val="24"/>
              </w:rPr>
              <w:t>1.Техника составления отчета об изменении капитала</w:t>
            </w:r>
          </w:p>
        </w:tc>
      </w:tr>
      <w:tr>
        <w:tc>
          <w:tcPr>
            <w:tcW w:type="dxa" w:w="2402"/>
            <w:gridSpan w:val="1"/>
            <w:vMerge w:val="continue"/>
          </w:tcPr>
          <w:p/>
        </w:tc>
        <w:tc>
          <w:tcPr>
            <w:tcW w:type="dxa" w:w="7091"/>
          </w:tcPr>
          <w:p w14:paraId="6D050000">
            <w:pPr>
              <w:rPr>
                <w:rFonts w:ascii="Times New Roman" w:hAnsi="Times New Roman"/>
                <w:sz w:val="24"/>
              </w:rPr>
            </w:pPr>
            <w:r>
              <w:rPr>
                <w:rFonts w:ascii="Times New Roman" w:hAnsi="Times New Roman"/>
                <w:sz w:val="24"/>
              </w:rPr>
              <w:t>2.Взаимоувязка показателей отчета с другими формами отчетности</w:t>
            </w:r>
          </w:p>
        </w:tc>
      </w:tr>
      <w:tr>
        <w:tc>
          <w:tcPr>
            <w:tcW w:type="dxa" w:w="2402"/>
            <w:vMerge w:val="restart"/>
          </w:tcPr>
          <w:p w14:paraId="6E050000">
            <w:pPr>
              <w:ind/>
              <w:jc w:val="center"/>
              <w:rPr>
                <w:rFonts w:ascii="Times New Roman" w:hAnsi="Times New Roman"/>
                <w:b w:val="1"/>
                <w:sz w:val="24"/>
              </w:rPr>
            </w:pPr>
            <w:r>
              <w:rPr>
                <w:rFonts w:ascii="Times New Roman" w:hAnsi="Times New Roman"/>
                <w:b w:val="1"/>
                <w:sz w:val="24"/>
              </w:rPr>
              <w:fldChar w:fldCharType="begin"/>
            </w:r>
            <w:r>
              <w:rPr>
                <w:rFonts w:ascii="Times New Roman" w:hAnsi="Times New Roman"/>
                <w:b w:val="1"/>
                <w:sz w:val="24"/>
              </w:rPr>
              <w:instrText>HYPERLINK "javascript:__doPostBack('ctl00$ctl00$ParentContent$ContentLeftPart$tvTema','sOTI3NzY0YWMtMzlhMC00ZjUzLWExMTQtMTdhYzgwNzI0OWEyfOTo8fbo7+vo7eB8fNLl9e3u6+7j6P8g8e7x8uDi6+Xt6P8g4fP14+Dr8uXw8eru6SDu8vfl8u3u8fLo//NGVlMzRiOWItNWZiMi00NTU4LWFkMDQtODdiYzdmMTRhZDExfPLl7OB80uXs4CA1fNHz+e3u8fLt4P8g9eDw4Ory5fDo8fLo6uAg6CDy5fXt6OrgIPHu8fLg4uvl7ej/IO7y9+Xy4CDuIOTi6Obl7ejoIOTl7eXm7fv1IPHw5eTx8uI=')"</w:instrText>
            </w:r>
            <w:r>
              <w:rPr>
                <w:rFonts w:ascii="Times New Roman" w:hAnsi="Times New Roman"/>
                <w:b w:val="1"/>
                <w:sz w:val="24"/>
              </w:rPr>
              <w:fldChar w:fldCharType="separate"/>
            </w:r>
            <w:r>
              <w:rPr>
                <w:rFonts w:ascii="Times New Roman" w:hAnsi="Times New Roman"/>
                <w:b w:val="1"/>
                <w:sz w:val="24"/>
              </w:rPr>
              <w:t xml:space="preserve">Тема </w:t>
            </w:r>
            <w:r>
              <w:rPr>
                <w:rFonts w:ascii="Times New Roman" w:hAnsi="Times New Roman"/>
                <w:b w:val="1"/>
                <w:sz w:val="24"/>
              </w:rPr>
              <w:t>2.</w:t>
            </w:r>
            <w:r>
              <w:rPr>
                <w:rFonts w:ascii="Times New Roman" w:hAnsi="Times New Roman"/>
                <w:b w:val="1"/>
                <w:sz w:val="24"/>
              </w:rPr>
              <w:t>5. Сущностная характеристика и техника составления отчета о движении денежных средств</w:t>
            </w:r>
            <w:r>
              <w:rPr>
                <w:rFonts w:ascii="Times New Roman" w:hAnsi="Times New Roman"/>
                <w:b w:val="1"/>
                <w:sz w:val="24"/>
              </w:rPr>
              <w:fldChar w:fldCharType="end"/>
            </w:r>
          </w:p>
        </w:tc>
        <w:tc>
          <w:tcPr>
            <w:tcW w:type="dxa" w:w="7091"/>
          </w:tcPr>
          <w:p w14:paraId="6F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70050000">
            <w:pPr>
              <w:rPr>
                <w:rFonts w:ascii="Times New Roman" w:hAnsi="Times New Roman"/>
                <w:sz w:val="24"/>
              </w:rPr>
            </w:pPr>
            <w:r>
              <w:rPr>
                <w:rFonts w:ascii="Times New Roman" w:hAnsi="Times New Roman"/>
                <w:sz w:val="24"/>
              </w:rPr>
              <w:t>Назначение отчета о движении денежных средств.</w:t>
            </w:r>
          </w:p>
          <w:p w14:paraId="71050000">
            <w:pPr>
              <w:rPr>
                <w:rFonts w:ascii="Times New Roman" w:hAnsi="Times New Roman"/>
                <w:sz w:val="24"/>
              </w:rPr>
            </w:pPr>
            <w:r>
              <w:rPr>
                <w:rFonts w:ascii="Times New Roman" w:hAnsi="Times New Roman"/>
                <w:sz w:val="24"/>
              </w:rPr>
              <w:t>Содержание и характеристика показателей отчета.</w:t>
            </w:r>
          </w:p>
          <w:p w14:paraId="72050000">
            <w:pPr>
              <w:rPr>
                <w:rFonts w:ascii="Times New Roman" w:hAnsi="Times New Roman"/>
                <w:sz w:val="24"/>
              </w:rPr>
            </w:pPr>
            <w:r>
              <w:rPr>
                <w:rFonts w:ascii="Times New Roman" w:hAnsi="Times New Roman"/>
                <w:sz w:val="24"/>
              </w:rPr>
              <w:t>Методика составления отчета о движении денежных средств.</w:t>
            </w:r>
          </w:p>
        </w:tc>
      </w:tr>
      <w:tr>
        <w:tc>
          <w:tcPr>
            <w:tcW w:type="dxa" w:w="2402"/>
            <w:gridSpan w:val="1"/>
            <w:vMerge w:val="continue"/>
          </w:tcPr>
          <w:p/>
        </w:tc>
        <w:tc>
          <w:tcPr>
            <w:tcW w:type="dxa" w:w="7091"/>
          </w:tcPr>
          <w:p w14:paraId="73050000">
            <w:pPr>
              <w:rPr>
                <w:rFonts w:ascii="Times New Roman" w:hAnsi="Times New Roman"/>
                <w:sz w:val="24"/>
              </w:rPr>
            </w:pPr>
            <w:r>
              <w:rPr>
                <w:rFonts w:ascii="Times New Roman" w:hAnsi="Times New Roman"/>
                <w:b w:val="1"/>
                <w:sz w:val="24"/>
              </w:rPr>
              <w:t>В том числе практических и лабораторных занятий</w:t>
            </w:r>
          </w:p>
        </w:tc>
      </w:tr>
      <w:tr>
        <w:tc>
          <w:tcPr>
            <w:tcW w:type="dxa" w:w="2402"/>
            <w:gridSpan w:val="1"/>
            <w:vMerge w:val="continue"/>
          </w:tcPr>
          <w:p/>
        </w:tc>
        <w:tc>
          <w:tcPr>
            <w:tcW w:type="dxa" w:w="7091"/>
          </w:tcPr>
          <w:p w14:paraId="74050000">
            <w:pPr>
              <w:rPr>
                <w:rFonts w:ascii="Times New Roman" w:hAnsi="Times New Roman"/>
                <w:sz w:val="24"/>
              </w:rPr>
            </w:pPr>
            <w:r>
              <w:rPr>
                <w:rFonts w:ascii="Times New Roman" w:hAnsi="Times New Roman"/>
                <w:sz w:val="24"/>
              </w:rPr>
              <w:t>1.Техника составления статей отчета по текущей деятельности</w:t>
            </w:r>
          </w:p>
        </w:tc>
      </w:tr>
      <w:tr>
        <w:tc>
          <w:tcPr>
            <w:tcW w:type="dxa" w:w="2402"/>
            <w:gridSpan w:val="1"/>
            <w:vMerge w:val="continue"/>
          </w:tcPr>
          <w:p/>
        </w:tc>
        <w:tc>
          <w:tcPr>
            <w:tcW w:type="dxa" w:w="7091"/>
          </w:tcPr>
          <w:p w14:paraId="75050000">
            <w:pPr>
              <w:rPr>
                <w:rFonts w:ascii="Times New Roman" w:hAnsi="Times New Roman"/>
                <w:sz w:val="24"/>
              </w:rPr>
            </w:pPr>
            <w:r>
              <w:rPr>
                <w:rFonts w:ascii="Times New Roman" w:hAnsi="Times New Roman"/>
                <w:sz w:val="24"/>
              </w:rPr>
              <w:t>2. Техника составления статей отчета по инвестиционной деятельности</w:t>
            </w:r>
          </w:p>
        </w:tc>
      </w:tr>
      <w:tr>
        <w:tc>
          <w:tcPr>
            <w:tcW w:type="dxa" w:w="2402"/>
            <w:gridSpan w:val="1"/>
            <w:vMerge w:val="continue"/>
          </w:tcPr>
          <w:p/>
        </w:tc>
        <w:tc>
          <w:tcPr>
            <w:tcW w:type="dxa" w:w="7091"/>
          </w:tcPr>
          <w:p w14:paraId="76050000">
            <w:pPr>
              <w:rPr>
                <w:rFonts w:ascii="Times New Roman" w:hAnsi="Times New Roman"/>
                <w:sz w:val="24"/>
              </w:rPr>
            </w:pPr>
            <w:r>
              <w:rPr>
                <w:rFonts w:ascii="Times New Roman" w:hAnsi="Times New Roman"/>
                <w:sz w:val="24"/>
              </w:rPr>
              <w:t>3. Техника составления отчета по финансовой деятельности</w:t>
            </w:r>
          </w:p>
        </w:tc>
      </w:tr>
      <w:tr>
        <w:tc>
          <w:tcPr>
            <w:tcW w:type="dxa" w:w="2402"/>
            <w:gridSpan w:val="1"/>
            <w:vMerge w:val="continue"/>
          </w:tcPr>
          <w:p/>
        </w:tc>
        <w:tc>
          <w:tcPr>
            <w:tcW w:type="dxa" w:w="7091"/>
          </w:tcPr>
          <w:p w14:paraId="77050000">
            <w:pPr>
              <w:rPr>
                <w:rFonts w:ascii="Times New Roman" w:hAnsi="Times New Roman"/>
                <w:sz w:val="24"/>
              </w:rPr>
            </w:pPr>
            <w:r>
              <w:rPr>
                <w:rFonts w:ascii="Times New Roman" w:hAnsi="Times New Roman"/>
                <w:sz w:val="24"/>
              </w:rPr>
              <w:t>4.Взаимоувязка показателей отчета с другими формами отчетности</w:t>
            </w:r>
          </w:p>
        </w:tc>
      </w:tr>
      <w:tr>
        <w:tc>
          <w:tcPr>
            <w:tcW w:type="dxa" w:w="2402"/>
            <w:vMerge w:val="restart"/>
          </w:tcPr>
          <w:p w14:paraId="78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OTI3NzY0YWMtMzlhMC00ZjUzLWExMTQtMTdhYzgwNzI0OWEyfOTo8fbo7+vo7eB8fNLl9e3u6+7j6P8g8e7x8uDi6+Xt6P8g4fP14+Dr8uXw8eru6SDu8vfl8u3u8fLo//ZjYwYjU1MDAtMzQxNS00OTRjLTlhOTctN2VlNGQwNjQ2OWRifPLl7OB80uXs4CA2fNXg8ODq8uXw6PHy6OrgIOgg8uX17ejq4CDx7vHy4OLr5e3o/yDv7v/x7eXt6Okg6iDh8/Xj4Ovy5fDx6u7s8yDh4Ovg7fHzIOgg7vL35fLzIO4g9Ojt4O3x7uL79SDw5efz6/zy4PLg9Q==')"</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2.</w:t>
            </w:r>
            <w:r>
              <w:rPr>
                <w:rFonts w:ascii="Times New Roman" w:hAnsi="Times New Roman"/>
                <w:b w:val="1"/>
                <w:sz w:val="24"/>
                <w:highlight w:val="white"/>
              </w:rPr>
              <w:t>6. Характеристика и техника составления пояснений к бухгалтерскому балансу и отчету о финансовых результатах</w:t>
            </w:r>
            <w:r>
              <w:rPr>
                <w:rFonts w:ascii="Times New Roman" w:hAnsi="Times New Roman"/>
                <w:b w:val="1"/>
                <w:sz w:val="24"/>
                <w:highlight w:val="white"/>
              </w:rPr>
              <w:fldChar w:fldCharType="end"/>
            </w:r>
          </w:p>
        </w:tc>
        <w:tc>
          <w:tcPr>
            <w:tcW w:type="dxa" w:w="7091"/>
          </w:tcPr>
          <w:p w14:paraId="79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7A050000">
            <w:pPr>
              <w:rPr>
                <w:rFonts w:ascii="Times New Roman" w:hAnsi="Times New Roman"/>
                <w:sz w:val="24"/>
              </w:rPr>
            </w:pPr>
            <w:r>
              <w:rPr>
                <w:rFonts w:ascii="Times New Roman" w:hAnsi="Times New Roman"/>
                <w:sz w:val="24"/>
              </w:rPr>
              <w:t>Назначение  пояснений к бухгалтерскому балансу и отчету о финансовых результатах,  характеристика его разделов.</w:t>
            </w:r>
          </w:p>
          <w:p w14:paraId="7B050000">
            <w:pPr>
              <w:rPr>
                <w:rFonts w:ascii="Times New Roman" w:hAnsi="Times New Roman"/>
                <w:sz w:val="24"/>
              </w:rPr>
            </w:pPr>
            <w:r>
              <w:rPr>
                <w:rFonts w:ascii="Times New Roman" w:hAnsi="Times New Roman"/>
                <w:sz w:val="24"/>
              </w:rPr>
              <w:t>Порядок составления пояснения к бухгалтерскому балансу.</w:t>
            </w:r>
          </w:p>
          <w:p w14:paraId="7C050000">
            <w:pPr>
              <w:rPr>
                <w:rFonts w:ascii="Times New Roman" w:hAnsi="Times New Roman"/>
                <w:sz w:val="24"/>
              </w:rPr>
            </w:pPr>
            <w:r>
              <w:rPr>
                <w:rFonts w:ascii="Times New Roman" w:hAnsi="Times New Roman"/>
                <w:sz w:val="24"/>
              </w:rPr>
              <w:t>Типичные ошибки составления и идентичность показателей.</w:t>
            </w:r>
          </w:p>
          <w:p w14:paraId="7D050000">
            <w:pPr>
              <w:rPr>
                <w:rFonts w:ascii="Times New Roman" w:hAnsi="Times New Roman"/>
                <w:sz w:val="24"/>
              </w:rPr>
            </w:pPr>
            <w:r>
              <w:rPr>
                <w:rFonts w:ascii="Times New Roman" w:hAnsi="Times New Roman"/>
                <w:sz w:val="24"/>
              </w:rPr>
              <w:t>Особенности составления форм налоговой и статистической отчетности.</w:t>
            </w:r>
          </w:p>
        </w:tc>
      </w:tr>
      <w:tr>
        <w:tc>
          <w:tcPr>
            <w:tcW w:type="dxa" w:w="2402"/>
            <w:gridSpan w:val="1"/>
            <w:vMerge w:val="continue"/>
          </w:tcPr>
          <w:p/>
        </w:tc>
        <w:tc>
          <w:tcPr>
            <w:tcW w:type="dxa" w:w="7091"/>
          </w:tcPr>
          <w:p w14:paraId="7E050000">
            <w:pPr>
              <w:rPr>
                <w:rFonts w:ascii="Times New Roman" w:hAnsi="Times New Roman"/>
                <w:sz w:val="24"/>
              </w:rPr>
            </w:pPr>
            <w:r>
              <w:rPr>
                <w:rFonts w:ascii="Times New Roman" w:hAnsi="Times New Roman"/>
                <w:b w:val="1"/>
                <w:sz w:val="24"/>
              </w:rPr>
              <w:t>В том числе практических и лабораторных занятий</w:t>
            </w:r>
          </w:p>
        </w:tc>
      </w:tr>
      <w:tr>
        <w:tc>
          <w:tcPr>
            <w:tcW w:type="dxa" w:w="2402"/>
            <w:gridSpan w:val="1"/>
            <w:vMerge w:val="continue"/>
          </w:tcPr>
          <w:p/>
        </w:tc>
        <w:tc>
          <w:tcPr>
            <w:tcW w:type="dxa" w:w="7091"/>
          </w:tcPr>
          <w:p w14:paraId="7F050000">
            <w:pPr>
              <w:rPr>
                <w:rFonts w:ascii="Times New Roman" w:hAnsi="Times New Roman"/>
                <w:sz w:val="24"/>
              </w:rPr>
            </w:pPr>
            <w:r>
              <w:rPr>
                <w:rFonts w:ascii="Times New Roman" w:hAnsi="Times New Roman"/>
                <w:sz w:val="24"/>
              </w:rPr>
              <w:t>1.Порядок составления пояснений к бухгалтерскому балансу и отчету о финансовых результатах</w:t>
            </w:r>
          </w:p>
        </w:tc>
      </w:tr>
      <w:tr>
        <w:tc>
          <w:tcPr>
            <w:tcW w:type="dxa" w:w="2402"/>
            <w:gridSpan w:val="1"/>
            <w:vMerge w:val="continue"/>
          </w:tcPr>
          <w:p/>
        </w:tc>
        <w:tc>
          <w:tcPr>
            <w:tcW w:type="dxa" w:w="7091"/>
          </w:tcPr>
          <w:p w14:paraId="80050000">
            <w:pPr>
              <w:rPr>
                <w:rFonts w:ascii="Times New Roman" w:hAnsi="Times New Roman"/>
                <w:sz w:val="24"/>
              </w:rPr>
            </w:pPr>
            <w:r>
              <w:rPr>
                <w:rFonts w:ascii="Times New Roman" w:hAnsi="Times New Roman"/>
                <w:sz w:val="24"/>
              </w:rPr>
              <w:t>2. Составление аудиторского заключения</w:t>
            </w:r>
          </w:p>
        </w:tc>
      </w:tr>
      <w:tr>
        <w:tc>
          <w:tcPr>
            <w:tcW w:type="dxa" w:w="2402"/>
            <w:gridSpan w:val="1"/>
            <w:vMerge w:val="continue"/>
          </w:tcPr>
          <w:p/>
        </w:tc>
        <w:tc>
          <w:tcPr>
            <w:tcW w:type="dxa" w:w="7091"/>
          </w:tcPr>
          <w:p w14:paraId="81050000">
            <w:pPr>
              <w:rPr>
                <w:rFonts w:ascii="Times New Roman" w:hAnsi="Times New Roman"/>
                <w:sz w:val="24"/>
              </w:rPr>
            </w:pPr>
            <w:r>
              <w:rPr>
                <w:rFonts w:ascii="Times New Roman" w:hAnsi="Times New Roman"/>
                <w:sz w:val="24"/>
              </w:rPr>
              <w:t>3. Составление форм налоговых деклараций и расчетов</w:t>
            </w:r>
          </w:p>
        </w:tc>
      </w:tr>
      <w:tr>
        <w:tc>
          <w:tcPr>
            <w:tcW w:type="dxa" w:w="2402"/>
            <w:gridSpan w:val="1"/>
            <w:vMerge w:val="continue"/>
          </w:tcPr>
          <w:p/>
        </w:tc>
        <w:tc>
          <w:tcPr>
            <w:tcW w:type="dxa" w:w="7091"/>
          </w:tcPr>
          <w:p w14:paraId="82050000">
            <w:pPr>
              <w:rPr>
                <w:rFonts w:ascii="Times New Roman" w:hAnsi="Times New Roman"/>
                <w:sz w:val="24"/>
              </w:rPr>
            </w:pPr>
            <w:r>
              <w:rPr>
                <w:rFonts w:ascii="Times New Roman" w:hAnsi="Times New Roman"/>
                <w:sz w:val="24"/>
              </w:rPr>
              <w:t>4. Составление форм статистической отчетности</w:t>
            </w:r>
          </w:p>
        </w:tc>
      </w:tr>
      <w:tr>
        <w:tc>
          <w:tcPr>
            <w:tcW w:type="dxa" w:w="2402"/>
            <w:vMerge w:val="restart"/>
          </w:tcPr>
          <w:p w14:paraId="83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OTI3NzY0YWMtMzlhMC00ZjUzLWExMTQtMTdhYzgwNzI0OWEyfOTo8fbo7+vo7eB8fNLl9e3u6+7j6P8g8e7x8uDi6+Xt6P8g4fP14+Dr8uXw8eru6SDu8vfl8u3u8fLo//NWIwNGJjNjktOGJjYi00NjlkLTk3NGEtZDJiZTI3NDRkOTg1fPLl7OB80uXs4CA3fNHi7uTt4P8sIOru7fHu6+jk6PDu4uDt7eD/IOgg8eXj7OXt8uDw7eD/IOHz9ePg6/Ll8PHq4P8g7vL35fLt7vHy/A==')"</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2.</w:t>
            </w:r>
            <w:r>
              <w:rPr>
                <w:rFonts w:ascii="Times New Roman" w:hAnsi="Times New Roman"/>
                <w:b w:val="1"/>
                <w:sz w:val="24"/>
                <w:highlight w:val="white"/>
              </w:rPr>
              <w:t>7. Сводная, консолидированная и сегментарная бухгалтерская отчетность</w:t>
            </w:r>
            <w:r>
              <w:rPr>
                <w:rFonts w:ascii="Times New Roman" w:hAnsi="Times New Roman"/>
                <w:b w:val="1"/>
                <w:sz w:val="24"/>
                <w:highlight w:val="white"/>
              </w:rPr>
              <w:fldChar w:fldCharType="end"/>
            </w:r>
          </w:p>
        </w:tc>
        <w:tc>
          <w:tcPr>
            <w:tcW w:type="dxa" w:w="7091"/>
          </w:tcPr>
          <w:p w14:paraId="84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85050000">
            <w:pPr>
              <w:rPr>
                <w:rFonts w:ascii="Times New Roman" w:hAnsi="Times New Roman"/>
                <w:sz w:val="24"/>
              </w:rPr>
            </w:pPr>
            <w:r>
              <w:rPr>
                <w:rFonts w:ascii="Times New Roman" w:hAnsi="Times New Roman"/>
                <w:sz w:val="24"/>
              </w:rPr>
              <w:t>Назначение сводной и консолидированной отчетности.</w:t>
            </w:r>
          </w:p>
          <w:p w14:paraId="86050000">
            <w:pPr>
              <w:rPr>
                <w:rFonts w:ascii="Times New Roman" w:hAnsi="Times New Roman"/>
                <w:sz w:val="24"/>
              </w:rPr>
            </w:pPr>
            <w:r>
              <w:rPr>
                <w:rFonts w:ascii="Times New Roman" w:hAnsi="Times New Roman"/>
                <w:sz w:val="24"/>
              </w:rPr>
              <w:t>Порядок составления сводной и консолидированной отчетности.</w:t>
            </w:r>
          </w:p>
          <w:p w14:paraId="87050000">
            <w:pPr>
              <w:rPr>
                <w:rFonts w:ascii="Times New Roman" w:hAnsi="Times New Roman"/>
                <w:sz w:val="24"/>
              </w:rPr>
            </w:pPr>
            <w:r>
              <w:rPr>
                <w:rFonts w:ascii="Times New Roman" w:hAnsi="Times New Roman"/>
                <w:sz w:val="24"/>
              </w:rPr>
              <w:t>Понятие сегментарной отчетности, ее назначение, цель и состав.</w:t>
            </w:r>
          </w:p>
          <w:p w14:paraId="88050000">
            <w:pPr>
              <w:rPr>
                <w:rFonts w:ascii="Times New Roman" w:hAnsi="Times New Roman"/>
                <w:sz w:val="24"/>
              </w:rPr>
            </w:pPr>
            <w:r>
              <w:rPr>
                <w:rFonts w:ascii="Times New Roman" w:hAnsi="Times New Roman"/>
                <w:sz w:val="24"/>
              </w:rPr>
              <w:t>Формирование бухгалтерской отчетности по сегментам.</w:t>
            </w:r>
          </w:p>
          <w:p w14:paraId="89050000">
            <w:pPr>
              <w:rPr>
                <w:rFonts w:ascii="Times New Roman" w:hAnsi="Times New Roman"/>
                <w:sz w:val="24"/>
              </w:rPr>
            </w:pPr>
            <w:r>
              <w:rPr>
                <w:rFonts w:ascii="Times New Roman" w:hAnsi="Times New Roman"/>
                <w:sz w:val="24"/>
              </w:rPr>
              <w:t>Порядок представления отчетности в налоговые и статистические органы.</w:t>
            </w:r>
          </w:p>
        </w:tc>
      </w:tr>
      <w:tr>
        <w:tc>
          <w:tcPr>
            <w:tcW w:type="dxa" w:w="2402"/>
            <w:gridSpan w:val="1"/>
            <w:vMerge w:val="continue"/>
          </w:tcPr>
          <w:p/>
        </w:tc>
        <w:tc>
          <w:tcPr>
            <w:tcW w:type="dxa" w:w="7091"/>
          </w:tcPr>
          <w:p w14:paraId="8A050000">
            <w:pPr>
              <w:rPr>
                <w:rFonts w:ascii="Times New Roman" w:hAnsi="Times New Roman"/>
                <w:sz w:val="24"/>
              </w:rPr>
            </w:pPr>
            <w:r>
              <w:rPr>
                <w:rFonts w:ascii="Times New Roman" w:hAnsi="Times New Roman"/>
                <w:b w:val="1"/>
                <w:sz w:val="24"/>
              </w:rPr>
              <w:t>В том числе практических и лабораторных занятий</w:t>
            </w:r>
          </w:p>
        </w:tc>
      </w:tr>
      <w:tr>
        <w:tc>
          <w:tcPr>
            <w:tcW w:type="dxa" w:w="2402"/>
            <w:gridSpan w:val="1"/>
            <w:vMerge w:val="continue"/>
          </w:tcPr>
          <w:p/>
        </w:tc>
        <w:tc>
          <w:tcPr>
            <w:tcW w:type="dxa" w:w="7091"/>
          </w:tcPr>
          <w:p w14:paraId="8B050000">
            <w:pPr>
              <w:rPr>
                <w:rFonts w:ascii="Times New Roman" w:hAnsi="Times New Roman"/>
                <w:sz w:val="24"/>
              </w:rPr>
            </w:pPr>
            <w:r>
              <w:rPr>
                <w:rFonts w:ascii="Times New Roman" w:hAnsi="Times New Roman"/>
                <w:sz w:val="24"/>
              </w:rPr>
              <w:t xml:space="preserve">1.Порядок составления сводной отчетности. </w:t>
            </w:r>
          </w:p>
        </w:tc>
      </w:tr>
      <w:tr>
        <w:tc>
          <w:tcPr>
            <w:tcW w:type="dxa" w:w="2402"/>
            <w:gridSpan w:val="1"/>
            <w:vMerge w:val="continue"/>
          </w:tcPr>
          <w:p/>
        </w:tc>
        <w:tc>
          <w:tcPr>
            <w:tcW w:type="dxa" w:w="7091"/>
          </w:tcPr>
          <w:p w14:paraId="8C050000">
            <w:pPr>
              <w:rPr>
                <w:rFonts w:ascii="Times New Roman" w:hAnsi="Times New Roman"/>
                <w:sz w:val="24"/>
              </w:rPr>
            </w:pPr>
            <w:r>
              <w:rPr>
                <w:rFonts w:ascii="Times New Roman" w:hAnsi="Times New Roman"/>
                <w:sz w:val="24"/>
              </w:rPr>
              <w:t xml:space="preserve">2. Особенности составления консолидированной отчетности. </w:t>
            </w:r>
          </w:p>
        </w:tc>
      </w:tr>
      <w:tr>
        <w:tc>
          <w:tcPr>
            <w:tcW w:type="dxa" w:w="2402"/>
            <w:gridSpan w:val="1"/>
            <w:vMerge w:val="continue"/>
          </w:tcPr>
          <w:p/>
        </w:tc>
        <w:tc>
          <w:tcPr>
            <w:tcW w:type="dxa" w:w="7091"/>
          </w:tcPr>
          <w:p w14:paraId="8D050000">
            <w:pPr>
              <w:rPr>
                <w:rFonts w:ascii="Times New Roman" w:hAnsi="Times New Roman"/>
                <w:sz w:val="24"/>
              </w:rPr>
            </w:pPr>
            <w:r>
              <w:rPr>
                <w:rFonts w:ascii="Times New Roman" w:hAnsi="Times New Roman"/>
                <w:sz w:val="24"/>
              </w:rPr>
              <w:t>3. Техника составления сегментарной бухгалтерской отчетности.</w:t>
            </w:r>
          </w:p>
        </w:tc>
      </w:tr>
      <w:tr>
        <w:tc>
          <w:tcPr>
            <w:tcW w:type="dxa" w:w="2402"/>
            <w:vMerge w:val="restart"/>
          </w:tcPr>
          <w:p w14:paraId="8E050000">
            <w:pPr>
              <w:ind/>
              <w:jc w:val="center"/>
              <w:rPr>
                <w:rFonts w:ascii="Times New Roman" w:hAnsi="Times New Roman"/>
                <w:b w:val="1"/>
                <w:sz w:val="24"/>
              </w:rPr>
            </w:pPr>
            <w:r>
              <w:rPr>
                <w:rFonts w:ascii="Times New Roman" w:hAnsi="Times New Roman"/>
                <w:b w:val="1"/>
                <w:sz w:val="24"/>
              </w:rPr>
              <w:t xml:space="preserve">Тема </w:t>
            </w:r>
            <w:r>
              <w:rPr>
                <w:rFonts w:ascii="Times New Roman" w:hAnsi="Times New Roman"/>
                <w:b w:val="1"/>
                <w:sz w:val="24"/>
              </w:rPr>
              <w:t>2.</w:t>
            </w:r>
            <w:r>
              <w:rPr>
                <w:rFonts w:ascii="Times New Roman" w:hAnsi="Times New Roman"/>
                <w:b w:val="1"/>
                <w:sz w:val="24"/>
              </w:rPr>
              <w:t xml:space="preserve">8. </w:t>
            </w:r>
            <w:r>
              <w:rPr>
                <w:rFonts w:ascii="Times New Roman" w:hAnsi="Times New Roman"/>
                <w:b w:val="1"/>
                <w:sz w:val="24"/>
              </w:rPr>
              <w:t>Статистическая и налоговая отчетность</w:t>
            </w:r>
          </w:p>
        </w:tc>
        <w:tc>
          <w:tcPr>
            <w:tcW w:type="dxa" w:w="7091"/>
          </w:tcPr>
          <w:p w14:paraId="8F050000">
            <w:pPr>
              <w:tabs>
                <w:tab w:leader="none" w:pos="358" w:val="left"/>
              </w:tabs>
              <w:ind/>
              <w:jc w:val="both"/>
              <w:rPr>
                <w:rFonts w:ascii="Times New Roman" w:hAnsi="Times New Roman"/>
                <w:b w:val="1"/>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90050000">
            <w:pPr>
              <w:numPr>
                <w:ilvl w:val="0"/>
                <w:numId w:val="13"/>
              </w:numPr>
              <w:tabs>
                <w:tab w:leader="none" w:pos="217" w:val="left"/>
              </w:tabs>
              <w:ind w:firstLine="0" w:left="0"/>
              <w:contextualSpacing w:val="1"/>
              <w:jc w:val="both"/>
              <w:rPr>
                <w:rFonts w:ascii="Times New Roman" w:hAnsi="Times New Roman"/>
                <w:sz w:val="24"/>
              </w:rPr>
            </w:pPr>
            <w:r>
              <w:rPr>
                <w:rFonts w:ascii="Times New Roman" w:hAnsi="Times New Roman"/>
                <w:sz w:val="24"/>
              </w:rPr>
              <w:t>Понятие статистической отчетности, виды, периодичность составления.</w:t>
            </w:r>
          </w:p>
          <w:p w14:paraId="91050000">
            <w:pPr>
              <w:numPr>
                <w:ilvl w:val="0"/>
                <w:numId w:val="13"/>
              </w:numPr>
              <w:tabs>
                <w:tab w:leader="none" w:pos="217" w:val="left"/>
              </w:tabs>
              <w:ind w:firstLine="0" w:left="0"/>
              <w:contextualSpacing w:val="1"/>
              <w:jc w:val="both"/>
              <w:rPr>
                <w:rFonts w:ascii="Times New Roman" w:hAnsi="Times New Roman"/>
                <w:sz w:val="24"/>
              </w:rPr>
            </w:pPr>
            <w:r>
              <w:rPr>
                <w:rFonts w:ascii="Times New Roman" w:hAnsi="Times New Roman"/>
                <w:sz w:val="24"/>
              </w:rPr>
              <w:t>Порядок разработки и утверждения программы отчетности, методики определения сведений, форм отчетности.</w:t>
            </w:r>
          </w:p>
          <w:p w14:paraId="92050000">
            <w:pPr>
              <w:numPr>
                <w:ilvl w:val="0"/>
                <w:numId w:val="13"/>
              </w:numPr>
              <w:tabs>
                <w:tab w:leader="none" w:pos="217" w:val="left"/>
                <w:tab w:leader="none" w:pos="459" w:val="left"/>
              </w:tabs>
              <w:ind w:firstLine="0" w:left="0"/>
              <w:contextualSpacing w:val="1"/>
              <w:jc w:val="both"/>
              <w:rPr>
                <w:rFonts w:ascii="Times New Roman" w:hAnsi="Times New Roman"/>
                <w:b w:val="1"/>
                <w:sz w:val="24"/>
              </w:rPr>
            </w:pPr>
            <w:r>
              <w:rPr>
                <w:rFonts w:ascii="Times New Roman" w:hAnsi="Times New Roman"/>
                <w:sz w:val="24"/>
              </w:rPr>
              <w:t>Статистические формы отчетности и сроки их сдачи.</w:t>
            </w:r>
          </w:p>
        </w:tc>
      </w:tr>
      <w:tr>
        <w:tc>
          <w:tcPr>
            <w:tcW w:type="dxa" w:w="2402"/>
            <w:gridSpan w:val="1"/>
            <w:vMerge w:val="continue"/>
          </w:tcPr>
          <w:p/>
        </w:tc>
        <w:tc>
          <w:tcPr>
            <w:tcW w:type="dxa" w:w="7091"/>
          </w:tcPr>
          <w:p w14:paraId="93050000">
            <w:pPr>
              <w:tabs>
                <w:tab w:leader="none" w:pos="358" w:val="left"/>
              </w:tabs>
              <w:ind/>
              <w:jc w:val="both"/>
              <w:rPr>
                <w:b w:val="1"/>
              </w:rPr>
            </w:pPr>
            <w:r>
              <w:rPr>
                <w:rFonts w:ascii="Times New Roman" w:hAnsi="Times New Roman"/>
                <w:b w:val="1"/>
                <w:sz w:val="24"/>
              </w:rPr>
              <w:t>В том числе практических и лабораторных занятий</w:t>
            </w:r>
          </w:p>
        </w:tc>
      </w:tr>
      <w:tr>
        <w:tc>
          <w:tcPr>
            <w:tcW w:type="dxa" w:w="2402"/>
            <w:gridSpan w:val="1"/>
            <w:vMerge w:val="continue"/>
          </w:tcPr>
          <w:p/>
        </w:tc>
        <w:tc>
          <w:tcPr>
            <w:tcW w:type="dxa" w:w="7091"/>
          </w:tcPr>
          <w:p w14:paraId="94050000">
            <w:pPr>
              <w:tabs>
                <w:tab w:leader="none" w:pos="358" w:val="left"/>
              </w:tabs>
              <w:ind/>
              <w:jc w:val="both"/>
              <w:rPr>
                <w:rFonts w:ascii="Times New Roman" w:hAnsi="Times New Roman"/>
                <w:b w:val="1"/>
                <w:sz w:val="24"/>
              </w:rPr>
            </w:pPr>
            <w:r>
              <w:rPr>
                <w:rFonts w:ascii="Times New Roman" w:hAnsi="Times New Roman"/>
                <w:sz w:val="24"/>
              </w:rPr>
              <w:t>1.Порядок составления</w:t>
            </w:r>
            <w:r>
              <w:rPr>
                <w:rFonts w:ascii="Times New Roman" w:hAnsi="Times New Roman"/>
                <w:b w:val="1"/>
                <w:sz w:val="24"/>
              </w:rPr>
              <w:t xml:space="preserve"> </w:t>
            </w:r>
            <w:r>
              <w:rPr>
                <w:rFonts w:ascii="Times New Roman" w:hAnsi="Times New Roman"/>
                <w:sz w:val="24"/>
              </w:rPr>
              <w:t>статистической и налоговой отчетности.</w:t>
            </w:r>
          </w:p>
        </w:tc>
      </w:tr>
      <w:tr>
        <w:tc>
          <w:tcPr>
            <w:tcW w:type="dxa" w:w="9493"/>
            <w:gridSpan w:val="2"/>
          </w:tcPr>
          <w:p w14:paraId="95050000">
            <w:pPr>
              <w:rPr>
                <w:rFonts w:ascii="Times New Roman" w:hAnsi="Times New Roman"/>
                <w:b w:val="1"/>
              </w:rPr>
            </w:pPr>
            <w:r>
              <w:rPr>
                <w:rFonts w:ascii="Times New Roman" w:hAnsi="Times New Roman"/>
                <w:b w:val="1"/>
                <w:color w:val="000000"/>
                <w:highlight w:val="white"/>
              </w:rPr>
              <w:t>Раздел 3.</w:t>
            </w:r>
            <w:r>
              <w:rPr>
                <w:rFonts w:ascii="Times New Roman" w:hAnsi="Times New Roman"/>
                <w:b w:val="1"/>
                <w:color w:val="000000"/>
                <w:highlight w:val="white"/>
              </w:rPr>
              <w:t xml:space="preserve"> Основы анализа бухгалтерской отчетности</w:t>
            </w:r>
            <w:r>
              <w:rPr>
                <w:rFonts w:ascii="Times New Roman" w:hAnsi="Times New Roman"/>
                <w:b w:val="1"/>
                <w:color w:val="000000"/>
                <w:highlight w:val="white"/>
              </w:rPr>
              <w:t xml:space="preserve"> 24 ч.</w:t>
            </w:r>
          </w:p>
        </w:tc>
      </w:tr>
      <w:tr>
        <w:tc>
          <w:tcPr>
            <w:tcW w:type="dxa" w:w="9493"/>
            <w:gridSpan w:val="2"/>
          </w:tcPr>
          <w:p w14:paraId="96050000">
            <w:pPr>
              <w:rPr>
                <w:rFonts w:ascii="Times New Roman" w:hAnsi="Times New Roman"/>
                <w:b w:val="1"/>
                <w:color w:val="000000"/>
                <w:highlight w:val="white"/>
              </w:rPr>
            </w:pPr>
            <w:r>
              <w:rPr>
                <w:rFonts w:ascii="Times New Roman" w:hAnsi="Times New Roman"/>
                <w:b w:val="1"/>
                <w:color w:val="000000"/>
                <w:highlight w:val="white"/>
              </w:rPr>
              <w:t>МДК.02.03 Основы анализа бухгалтерской отчетности</w:t>
            </w:r>
          </w:p>
        </w:tc>
      </w:tr>
      <w:tr>
        <w:tc>
          <w:tcPr>
            <w:tcW w:type="dxa" w:w="2402"/>
            <w:vMerge w:val="restart"/>
          </w:tcPr>
          <w:p w14:paraId="97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mFlZGQzZmItZDI1Ni00YWRlLWI4MTItNDFhZmE5OTQ0YWQxfOTo8fbo7+vo7eB8fM7x7e7i+yDg7eDr6OfgIOHz9ePg6/Ll8PHq7ukg7vL35fLt7vHy6A==//ZWJmODk2MmYtMmJmMi00N2Q4LWFlYTItYmY1YTAwMmRiZjk3fPLl7OB80uXs4CAxfNLl7vDl8uj35fHq6OUg7vHt7uL7IODt4Ovo5+Ag4fP14+Dr8uXw8eru6SAo9Ojt4O3x7uLu6Skg7vL35fLt7vHy6C4=')"</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3.</w:t>
            </w:r>
            <w:r>
              <w:rPr>
                <w:rFonts w:ascii="Times New Roman" w:hAnsi="Times New Roman"/>
                <w:b w:val="1"/>
                <w:sz w:val="24"/>
                <w:highlight w:val="white"/>
              </w:rPr>
              <w:t>1. Теоретические основы анализа бухгалтерской (финансовой) отчетности.</w:t>
            </w:r>
            <w:r>
              <w:rPr>
                <w:rFonts w:ascii="Times New Roman" w:hAnsi="Times New Roman"/>
                <w:b w:val="1"/>
                <w:sz w:val="24"/>
                <w:highlight w:val="white"/>
              </w:rPr>
              <w:fldChar w:fldCharType="end"/>
            </w:r>
          </w:p>
        </w:tc>
        <w:tc>
          <w:tcPr>
            <w:tcW w:type="dxa" w:w="7091"/>
          </w:tcPr>
          <w:p w14:paraId="98050000">
            <w:pPr>
              <w:rPr>
                <w:rFonts w:ascii="Times New Roman" w:hAnsi="Times New Roman"/>
                <w:b w:val="1"/>
                <w:sz w:val="24"/>
              </w:rPr>
            </w:pPr>
            <w:r>
              <w:rPr>
                <w:rFonts w:ascii="Times New Roman" w:hAnsi="Times New Roman"/>
                <w:b w:val="1"/>
                <w:sz w:val="24"/>
              </w:rPr>
              <w:t xml:space="preserve">Содержание </w:t>
            </w:r>
          </w:p>
        </w:tc>
      </w:tr>
      <w:tr>
        <w:tc>
          <w:tcPr>
            <w:tcW w:type="dxa" w:w="2402"/>
            <w:gridSpan w:val="1"/>
            <w:vMerge w:val="continue"/>
          </w:tcPr>
          <w:p/>
        </w:tc>
        <w:tc>
          <w:tcPr>
            <w:tcW w:type="dxa" w:w="7091"/>
          </w:tcPr>
          <w:p w14:paraId="99050000">
            <w:pPr>
              <w:rPr>
                <w:rFonts w:ascii="Times New Roman" w:hAnsi="Times New Roman"/>
                <w:sz w:val="24"/>
              </w:rPr>
            </w:pPr>
            <w:r>
              <w:rPr>
                <w:rFonts w:ascii="Times New Roman" w:hAnsi="Times New Roman"/>
                <w:sz w:val="24"/>
              </w:rPr>
              <w:t>Бухгалтерская отчетность как источник информации финансового анализа объекта внутреннего контроля</w:t>
            </w:r>
          </w:p>
          <w:p w14:paraId="9A050000">
            <w:pPr>
              <w:rPr>
                <w:rFonts w:ascii="Times New Roman" w:hAnsi="Times New Roman"/>
                <w:sz w:val="24"/>
              </w:rPr>
            </w:pPr>
            <w:r>
              <w:rPr>
                <w:rFonts w:ascii="Times New Roman" w:hAnsi="Times New Roman"/>
                <w:sz w:val="24"/>
              </w:rPr>
              <w:t>Требования к качеству информации, содержащейся в бухгалтерской (финансовой) отчетности</w:t>
            </w:r>
          </w:p>
          <w:p w14:paraId="9B050000">
            <w:pPr>
              <w:rPr>
                <w:rFonts w:ascii="Times New Roman" w:hAnsi="Times New Roman"/>
                <w:sz w:val="24"/>
              </w:rPr>
            </w:pPr>
            <w:r>
              <w:rPr>
                <w:rFonts w:ascii="Times New Roman" w:hAnsi="Times New Roman"/>
                <w:sz w:val="24"/>
              </w:rPr>
              <w:t>Виды, приемы и методы финансового анализа</w:t>
            </w:r>
          </w:p>
          <w:p w14:paraId="9C050000">
            <w:pPr>
              <w:rPr>
                <w:rFonts w:ascii="Times New Roman" w:hAnsi="Times New Roman"/>
                <w:b w:val="1"/>
                <w:sz w:val="24"/>
              </w:rPr>
            </w:pPr>
            <w:r>
              <w:rPr>
                <w:rFonts w:ascii="Times New Roman" w:hAnsi="Times New Roman"/>
                <w:sz w:val="24"/>
              </w:rPr>
              <w:t>Планирование, организационные формы и исполнители финансового анализа</w:t>
            </w:r>
          </w:p>
        </w:tc>
      </w:tr>
      <w:tr>
        <w:tc>
          <w:tcPr>
            <w:tcW w:type="dxa" w:w="2402"/>
            <w:gridSpan w:val="1"/>
            <w:vMerge w:val="continue"/>
          </w:tcPr>
          <w:p/>
        </w:tc>
        <w:tc>
          <w:tcPr>
            <w:tcW w:type="dxa" w:w="7091"/>
          </w:tcPr>
          <w:p w14:paraId="9D050000">
            <w:pPr>
              <w:rPr>
                <w:rFonts w:ascii="Times New Roman" w:hAnsi="Times New Roman"/>
                <w:b w:val="1"/>
                <w:sz w:val="24"/>
              </w:rPr>
            </w:pPr>
            <w:r>
              <w:rPr>
                <w:rFonts w:ascii="Times New Roman" w:hAnsi="Times New Roman"/>
                <w:b w:val="1"/>
                <w:sz w:val="24"/>
              </w:rPr>
              <w:t xml:space="preserve">В том числе практических и лабораторных занятий </w:t>
            </w:r>
          </w:p>
        </w:tc>
      </w:tr>
      <w:tr>
        <w:tc>
          <w:tcPr>
            <w:tcW w:type="dxa" w:w="2402"/>
            <w:gridSpan w:val="1"/>
            <w:vMerge w:val="continue"/>
          </w:tcPr>
          <w:p/>
        </w:tc>
        <w:tc>
          <w:tcPr>
            <w:tcW w:type="dxa" w:w="7091"/>
          </w:tcPr>
          <w:p w14:paraId="9E050000">
            <w:pPr>
              <w:rPr>
                <w:rFonts w:ascii="Times New Roman" w:hAnsi="Times New Roman"/>
                <w:b w:val="1"/>
                <w:sz w:val="24"/>
              </w:rPr>
            </w:pPr>
            <w:r>
              <w:rPr>
                <w:rFonts w:ascii="Times New Roman" w:hAnsi="Times New Roman"/>
                <w:sz w:val="24"/>
              </w:rPr>
              <w:t>1. Теоретические основы анализа бухгалтерской (финансовой) отчетности.</w:t>
            </w:r>
          </w:p>
        </w:tc>
      </w:tr>
      <w:tr>
        <w:tc>
          <w:tcPr>
            <w:tcW w:type="dxa" w:w="2402"/>
            <w:gridSpan w:val="1"/>
            <w:vMerge w:val="continue"/>
          </w:tcPr>
          <w:p/>
        </w:tc>
        <w:tc>
          <w:tcPr>
            <w:tcW w:type="dxa" w:w="7091"/>
          </w:tcPr>
          <w:p w14:paraId="9F050000">
            <w:pPr>
              <w:rPr>
                <w:rFonts w:ascii="Times New Roman" w:hAnsi="Times New Roman"/>
                <w:b w:val="1"/>
                <w:sz w:val="24"/>
              </w:rPr>
            </w:pPr>
            <w:r>
              <w:rPr>
                <w:rFonts w:ascii="Times New Roman" w:hAnsi="Times New Roman"/>
                <w:sz w:val="24"/>
              </w:rPr>
              <w:t>2.</w:t>
            </w:r>
            <w:r>
              <w:rPr>
                <w:rFonts w:ascii="Times New Roman" w:hAnsi="Times New Roman"/>
                <w:b w:val="1"/>
                <w:sz w:val="24"/>
              </w:rPr>
              <w:t xml:space="preserve"> </w:t>
            </w:r>
            <w:r>
              <w:rPr>
                <w:rFonts w:ascii="Times New Roman" w:hAnsi="Times New Roman"/>
                <w:sz w:val="24"/>
              </w:rPr>
              <w:t>Принципы организации финансового анализа и формирования аналитических отчетов.</w:t>
            </w:r>
          </w:p>
        </w:tc>
      </w:tr>
      <w:tr>
        <w:tc>
          <w:tcPr>
            <w:tcW w:type="dxa" w:w="2402"/>
            <w:vMerge w:val="restart"/>
          </w:tcPr>
          <w:p w14:paraId="A0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mFlZGQzZmItZDI1Ni00YWRlLWI4MTItNDFhZmE5OTQ0YWQxfOTo8fbo7+vo7eB8fM7x7e7i+yDg7eDr6OfgIOHz9ePg6/Ll8PHq7ukg7vL35fLt7vHy6A==//OTIxN2E2ZWYtNTdiYy00NGZhLTg5OTUtODE4MWFhOTY1MzZkfPLl7OB80uXs4CAyfM7x7e7i+yDg7eDr6OfgIOjs8/nl8fLi4CAo4Ory6OLu4ikg6CDl4+4g6PHy7vft6Oru4iAo7+Dx8eji7uIpIO/uIOTg7e377CDh8/Xj4Ovy5fDx6u7j7iDh4Ovg7fHgIO7w4+Dt6Ofg9ujo')"</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3.</w:t>
            </w:r>
            <w:r>
              <w:rPr>
                <w:rFonts w:ascii="Times New Roman" w:hAnsi="Times New Roman"/>
                <w:b w:val="1"/>
                <w:sz w:val="24"/>
                <w:highlight w:val="white"/>
              </w:rPr>
              <w:t>2. Основы анализа имущества (активов) и его источников (пассивов) по данным бухгалтерского баланса организации</w:t>
            </w:r>
            <w:r>
              <w:rPr>
                <w:rFonts w:ascii="Times New Roman" w:hAnsi="Times New Roman"/>
                <w:b w:val="1"/>
                <w:sz w:val="24"/>
                <w:highlight w:val="white"/>
              </w:rPr>
              <w:fldChar w:fldCharType="end"/>
            </w:r>
          </w:p>
        </w:tc>
        <w:tc>
          <w:tcPr>
            <w:tcW w:type="dxa" w:w="7091"/>
          </w:tcPr>
          <w:p w14:paraId="A1050000">
            <w:pPr>
              <w:rPr>
                <w:rFonts w:ascii="Times New Roman" w:hAnsi="Times New Roman"/>
                <w:b w:val="1"/>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A2050000">
            <w:pPr>
              <w:rPr>
                <w:rFonts w:ascii="Times New Roman" w:hAnsi="Times New Roman"/>
                <w:sz w:val="24"/>
              </w:rPr>
            </w:pPr>
            <w:r>
              <w:rPr>
                <w:rFonts w:ascii="Times New Roman" w:hAnsi="Times New Roman"/>
                <w:sz w:val="24"/>
              </w:rPr>
              <w:t>Значение, функции и роль бухгалтерского баланса в оценке финансового положения организации</w:t>
            </w:r>
          </w:p>
          <w:p w14:paraId="A3050000">
            <w:pPr>
              <w:rPr>
                <w:rFonts w:ascii="Times New Roman" w:hAnsi="Times New Roman"/>
                <w:sz w:val="24"/>
              </w:rPr>
            </w:pPr>
            <w:r>
              <w:rPr>
                <w:rFonts w:ascii="Times New Roman" w:hAnsi="Times New Roman"/>
                <w:sz w:val="24"/>
              </w:rPr>
              <w:t>Структурно-динамический анализ актива и пассива бухгалтерского баланса</w:t>
            </w:r>
          </w:p>
          <w:p w14:paraId="A4050000">
            <w:pPr>
              <w:rPr>
                <w:rFonts w:ascii="Times New Roman" w:hAnsi="Times New Roman"/>
                <w:sz w:val="24"/>
              </w:rPr>
            </w:pPr>
            <w:r>
              <w:rPr>
                <w:rFonts w:ascii="Times New Roman" w:hAnsi="Times New Roman"/>
                <w:sz w:val="24"/>
              </w:rPr>
              <w:t>Анализ ликвидности баланса и платежеспособности организации</w:t>
            </w:r>
          </w:p>
          <w:p w14:paraId="A5050000">
            <w:pPr>
              <w:rPr>
                <w:rFonts w:ascii="Times New Roman" w:hAnsi="Times New Roman"/>
                <w:sz w:val="24"/>
              </w:rPr>
            </w:pPr>
            <w:r>
              <w:rPr>
                <w:rFonts w:ascii="Times New Roman" w:hAnsi="Times New Roman"/>
                <w:sz w:val="24"/>
              </w:rPr>
              <w:t>Анализ и оценка оценки финансовой устойчивости организации</w:t>
            </w:r>
          </w:p>
          <w:p w14:paraId="A6050000">
            <w:pPr>
              <w:rPr>
                <w:rFonts w:ascii="Times New Roman" w:hAnsi="Times New Roman"/>
                <w:b w:val="1"/>
                <w:sz w:val="24"/>
              </w:rPr>
            </w:pPr>
            <w:r>
              <w:rPr>
                <w:rFonts w:ascii="Times New Roman" w:hAnsi="Times New Roman"/>
                <w:sz w:val="24"/>
              </w:rPr>
              <w:t>Критерии неплатежеспособности организации и анализ рисков наступления ее банкротства</w:t>
            </w:r>
          </w:p>
        </w:tc>
      </w:tr>
      <w:tr>
        <w:tc>
          <w:tcPr>
            <w:tcW w:type="dxa" w:w="2402"/>
            <w:gridSpan w:val="1"/>
            <w:vMerge w:val="continue"/>
          </w:tcPr>
          <w:p/>
        </w:tc>
        <w:tc>
          <w:tcPr>
            <w:tcW w:type="dxa" w:w="7091"/>
          </w:tcPr>
          <w:p w14:paraId="A7050000">
            <w:pPr>
              <w:rPr>
                <w:rFonts w:ascii="Times New Roman" w:hAnsi="Times New Roman"/>
                <w:b w:val="1"/>
                <w:sz w:val="24"/>
              </w:rPr>
            </w:pPr>
            <w:r>
              <w:rPr>
                <w:rFonts w:ascii="Times New Roman" w:hAnsi="Times New Roman"/>
                <w:b w:val="1"/>
                <w:sz w:val="24"/>
              </w:rPr>
              <w:t xml:space="preserve">В том числе практических и лабораторных занятий </w:t>
            </w:r>
          </w:p>
        </w:tc>
      </w:tr>
      <w:tr>
        <w:tc>
          <w:tcPr>
            <w:tcW w:type="dxa" w:w="2402"/>
            <w:gridSpan w:val="1"/>
            <w:vMerge w:val="continue"/>
          </w:tcPr>
          <w:p/>
        </w:tc>
        <w:tc>
          <w:tcPr>
            <w:tcW w:type="dxa" w:w="7091"/>
          </w:tcPr>
          <w:p w14:paraId="A8050000">
            <w:pPr>
              <w:ind/>
              <w:jc w:val="both"/>
              <w:rPr>
                <w:rFonts w:ascii="Times New Roman" w:hAnsi="Times New Roman"/>
                <w:sz w:val="24"/>
              </w:rPr>
            </w:pPr>
            <w:r>
              <w:rPr>
                <w:rFonts w:ascii="Times New Roman" w:hAnsi="Times New Roman"/>
                <w:sz w:val="24"/>
              </w:rPr>
              <w:t>1. Виды и формы финансовой отчетности. Методы и приемы анализа финансовой отчетности. Формы обобщения результатов анализа. Решение ситуационных задач.</w:t>
            </w:r>
          </w:p>
        </w:tc>
      </w:tr>
      <w:tr>
        <w:tc>
          <w:tcPr>
            <w:tcW w:type="dxa" w:w="2402"/>
            <w:gridSpan w:val="1"/>
            <w:vMerge w:val="continue"/>
          </w:tcPr>
          <w:p/>
        </w:tc>
        <w:tc>
          <w:tcPr>
            <w:tcW w:type="dxa" w:w="7091"/>
          </w:tcPr>
          <w:p w14:paraId="A9050000">
            <w:pPr>
              <w:ind/>
              <w:jc w:val="both"/>
              <w:rPr>
                <w:rFonts w:ascii="Times New Roman" w:hAnsi="Times New Roman"/>
                <w:sz w:val="24"/>
              </w:rPr>
            </w:pPr>
            <w:r>
              <w:rPr>
                <w:rFonts w:ascii="Times New Roman" w:hAnsi="Times New Roman"/>
                <w:sz w:val="24"/>
              </w:rPr>
              <w:t>2. Вертикальный и горизонтальный анализ уплотненного баланса-нетто организации. Решение ситуационных задач.</w:t>
            </w:r>
          </w:p>
        </w:tc>
      </w:tr>
      <w:tr>
        <w:tc>
          <w:tcPr>
            <w:tcW w:type="dxa" w:w="2402"/>
            <w:gridSpan w:val="1"/>
            <w:vMerge w:val="continue"/>
          </w:tcPr>
          <w:p/>
        </w:tc>
        <w:tc>
          <w:tcPr>
            <w:tcW w:type="dxa" w:w="7091"/>
          </w:tcPr>
          <w:p w14:paraId="AA050000">
            <w:pPr>
              <w:ind/>
              <w:jc w:val="both"/>
              <w:rPr>
                <w:rFonts w:ascii="Times New Roman" w:hAnsi="Times New Roman"/>
                <w:sz w:val="24"/>
              </w:rPr>
            </w:pPr>
            <w:r>
              <w:rPr>
                <w:rFonts w:ascii="Times New Roman" w:hAnsi="Times New Roman"/>
                <w:sz w:val="24"/>
              </w:rPr>
              <w:t>3. Оценка ликвидности баланса и платежеспособности организации. Решение ситуационных задач.</w:t>
            </w:r>
          </w:p>
        </w:tc>
      </w:tr>
      <w:tr>
        <w:tc>
          <w:tcPr>
            <w:tcW w:type="dxa" w:w="2402"/>
            <w:gridSpan w:val="1"/>
            <w:vMerge w:val="continue"/>
          </w:tcPr>
          <w:p/>
        </w:tc>
        <w:tc>
          <w:tcPr>
            <w:tcW w:type="dxa" w:w="7091"/>
          </w:tcPr>
          <w:p w14:paraId="AB050000">
            <w:pPr>
              <w:ind/>
              <w:jc w:val="both"/>
              <w:rPr>
                <w:rFonts w:ascii="Times New Roman" w:hAnsi="Times New Roman"/>
                <w:sz w:val="24"/>
              </w:rPr>
            </w:pPr>
            <w:r>
              <w:rPr>
                <w:rFonts w:ascii="Times New Roman" w:hAnsi="Times New Roman"/>
                <w:sz w:val="24"/>
              </w:rPr>
              <w:t>4. Анализ показателей финансовой устойчивости. Решение ситуационных задач.</w:t>
            </w:r>
          </w:p>
        </w:tc>
      </w:tr>
      <w:tr>
        <w:tc>
          <w:tcPr>
            <w:tcW w:type="dxa" w:w="2402"/>
            <w:gridSpan w:val="1"/>
            <w:vMerge w:val="continue"/>
          </w:tcPr>
          <w:p/>
        </w:tc>
        <w:tc>
          <w:tcPr>
            <w:tcW w:type="dxa" w:w="7091"/>
          </w:tcPr>
          <w:p w14:paraId="AC050000">
            <w:pPr>
              <w:ind/>
              <w:jc w:val="both"/>
              <w:rPr>
                <w:rFonts w:ascii="Times New Roman" w:hAnsi="Times New Roman"/>
                <w:sz w:val="24"/>
              </w:rPr>
            </w:pPr>
            <w:r>
              <w:rPr>
                <w:rFonts w:ascii="Times New Roman" w:hAnsi="Times New Roman"/>
                <w:sz w:val="24"/>
              </w:rPr>
              <w:t>5. Оценка неплатежеспособности (банкротства) организации и анализ рисков наступления ее банкротства. Решение ситуационных задач.</w:t>
            </w:r>
          </w:p>
        </w:tc>
      </w:tr>
      <w:tr>
        <w:tc>
          <w:tcPr>
            <w:tcW w:type="dxa" w:w="2402"/>
            <w:vMerge w:val="restart"/>
          </w:tcPr>
          <w:p w14:paraId="AD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mFlZGQzZmItZDI1Ni00YWRlLWI4MTItNDFhZmE5OTQ0YWQxfOTo8fbo7+vo7eB8fM7x7e7i+yDg7eDr6OfgIOHz9ePg6/Ll8PHq7ukg7vL35fLt7vHy6A==//NDc4YjEwY2ItZWY1Ni00Yjk3LThlOTEtOTQ3M2NkMTBmNGRkfPLl7OB80uXs4CAzfM7x7e7i+yDg7eDr6OfgIOTu9e7k7uIsIPDg8fXu5O7iIOgg9Ojt4O3x7uL79SDw5efz6/zy4PLu4iDk5f/y5ev87e7x8uggIO7w4+Dt6Ofg9ujoIO/uIOTg7e377CDu8vfl8uAg7iD06O3g7fHu4vv1IPDl5/Pr/PLg8uD1')"</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3.</w:t>
            </w:r>
            <w:r>
              <w:rPr>
                <w:rFonts w:ascii="Times New Roman" w:hAnsi="Times New Roman"/>
                <w:b w:val="1"/>
                <w:sz w:val="24"/>
                <w:highlight w:val="white"/>
              </w:rPr>
              <w:t>3. Основы анализа доходов, расходов и финансовых результатов деятельности организации по данным отчета о финансовых результатах</w:t>
            </w:r>
            <w:r>
              <w:rPr>
                <w:rFonts w:ascii="Times New Roman" w:hAnsi="Times New Roman"/>
                <w:b w:val="1"/>
                <w:sz w:val="24"/>
                <w:highlight w:val="white"/>
              </w:rPr>
              <w:fldChar w:fldCharType="end"/>
            </w:r>
          </w:p>
        </w:tc>
        <w:tc>
          <w:tcPr>
            <w:tcW w:type="dxa" w:w="7091"/>
          </w:tcPr>
          <w:p w14:paraId="AE050000">
            <w:pPr>
              <w:rPr>
                <w:rFonts w:ascii="Times New Roman" w:hAnsi="Times New Roman"/>
                <w:b w:val="1"/>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AF050000">
            <w:pPr>
              <w:rPr>
                <w:rFonts w:ascii="Times New Roman" w:hAnsi="Times New Roman"/>
                <w:sz w:val="24"/>
              </w:rPr>
            </w:pPr>
            <w:r>
              <w:rPr>
                <w:rFonts w:ascii="Times New Roman" w:hAnsi="Times New Roman"/>
                <w:sz w:val="24"/>
              </w:rPr>
              <w:t>Значение, функции и роль отчета о финансовых результатах, его  аналитические возможности</w:t>
            </w:r>
          </w:p>
          <w:p w14:paraId="B0050000">
            <w:pPr>
              <w:rPr>
                <w:rFonts w:ascii="Times New Roman" w:hAnsi="Times New Roman"/>
                <w:sz w:val="24"/>
              </w:rPr>
            </w:pPr>
            <w:r>
              <w:rPr>
                <w:rFonts w:ascii="Times New Roman" w:hAnsi="Times New Roman"/>
                <w:sz w:val="24"/>
              </w:rPr>
              <w:t>Анализ уровня и динамики финансовых результатов</w:t>
            </w:r>
          </w:p>
          <w:p w14:paraId="B1050000">
            <w:pPr>
              <w:rPr>
                <w:rFonts w:ascii="Times New Roman" w:hAnsi="Times New Roman"/>
                <w:sz w:val="24"/>
              </w:rPr>
            </w:pPr>
            <w:r>
              <w:rPr>
                <w:rFonts w:ascii="Times New Roman" w:hAnsi="Times New Roman"/>
                <w:sz w:val="24"/>
              </w:rPr>
              <w:t>Анализ влияния факторов на прибыль организации</w:t>
            </w:r>
          </w:p>
          <w:p w14:paraId="B2050000">
            <w:pPr>
              <w:rPr>
                <w:rFonts w:ascii="Times New Roman" w:hAnsi="Times New Roman"/>
                <w:b w:val="1"/>
                <w:sz w:val="24"/>
              </w:rPr>
            </w:pPr>
            <w:r>
              <w:rPr>
                <w:rFonts w:ascii="Times New Roman" w:hAnsi="Times New Roman"/>
                <w:sz w:val="24"/>
              </w:rPr>
              <w:t>Коэффициентный и факторный  анализ показателей рентабельности</w:t>
            </w:r>
          </w:p>
        </w:tc>
      </w:tr>
      <w:tr>
        <w:tc>
          <w:tcPr>
            <w:tcW w:type="dxa" w:w="2402"/>
            <w:gridSpan w:val="1"/>
            <w:vMerge w:val="continue"/>
          </w:tcPr>
          <w:p/>
        </w:tc>
        <w:tc>
          <w:tcPr>
            <w:tcW w:type="dxa" w:w="7091"/>
          </w:tcPr>
          <w:p w14:paraId="B3050000">
            <w:pPr>
              <w:rPr>
                <w:rFonts w:ascii="Times New Roman" w:hAnsi="Times New Roman"/>
                <w:b w:val="1"/>
                <w:sz w:val="24"/>
              </w:rPr>
            </w:pPr>
            <w:r>
              <w:rPr>
                <w:rFonts w:ascii="Times New Roman" w:hAnsi="Times New Roman"/>
                <w:b w:val="1"/>
                <w:sz w:val="24"/>
              </w:rPr>
              <w:t xml:space="preserve">В том числе практических и лабораторных занятий </w:t>
            </w:r>
          </w:p>
        </w:tc>
      </w:tr>
      <w:tr>
        <w:tc>
          <w:tcPr>
            <w:tcW w:type="dxa" w:w="2402"/>
            <w:gridSpan w:val="1"/>
            <w:vMerge w:val="continue"/>
          </w:tcPr>
          <w:p/>
        </w:tc>
        <w:tc>
          <w:tcPr>
            <w:tcW w:type="dxa" w:w="7091"/>
          </w:tcPr>
          <w:p w14:paraId="B4050000">
            <w:pPr>
              <w:rPr>
                <w:rFonts w:ascii="Times New Roman" w:hAnsi="Times New Roman"/>
                <w:b w:val="1"/>
                <w:sz w:val="24"/>
              </w:rPr>
            </w:pPr>
            <w:r>
              <w:rPr>
                <w:rFonts w:ascii="Times New Roman" w:hAnsi="Times New Roman"/>
                <w:sz w:val="24"/>
              </w:rPr>
              <w:t>1. Состав и структура отчета о финансовых результатах. Решение ситуационных задач.</w:t>
            </w:r>
          </w:p>
        </w:tc>
      </w:tr>
      <w:tr>
        <w:tc>
          <w:tcPr>
            <w:tcW w:type="dxa" w:w="2402"/>
            <w:gridSpan w:val="1"/>
            <w:vMerge w:val="continue"/>
          </w:tcPr>
          <w:p/>
        </w:tc>
        <w:tc>
          <w:tcPr>
            <w:tcW w:type="dxa" w:w="7091"/>
          </w:tcPr>
          <w:p w14:paraId="B5050000">
            <w:pPr>
              <w:rPr>
                <w:rFonts w:ascii="Times New Roman" w:hAnsi="Times New Roman"/>
                <w:sz w:val="24"/>
              </w:rPr>
            </w:pPr>
            <w:r>
              <w:rPr>
                <w:rFonts w:ascii="Times New Roman" w:hAnsi="Times New Roman"/>
                <w:sz w:val="24"/>
              </w:rPr>
              <w:t>2. Анализ доходов, расходов и финансовых результатов организации. Решение ситуационных задач.</w:t>
            </w:r>
          </w:p>
        </w:tc>
      </w:tr>
      <w:tr>
        <w:tc>
          <w:tcPr>
            <w:tcW w:type="dxa" w:w="2402"/>
            <w:gridSpan w:val="1"/>
            <w:vMerge w:val="continue"/>
          </w:tcPr>
          <w:p/>
        </w:tc>
        <w:tc>
          <w:tcPr>
            <w:tcW w:type="dxa" w:w="7091"/>
          </w:tcPr>
          <w:p w14:paraId="B6050000">
            <w:pPr>
              <w:rPr>
                <w:rFonts w:ascii="Times New Roman" w:hAnsi="Times New Roman"/>
                <w:sz w:val="24"/>
              </w:rPr>
            </w:pPr>
            <w:r>
              <w:rPr>
                <w:rFonts w:ascii="Times New Roman" w:hAnsi="Times New Roman"/>
                <w:sz w:val="24"/>
              </w:rPr>
              <w:t>3. Анализ уровня и динамики финансовых результатов. Решение ситуационных задач.</w:t>
            </w:r>
          </w:p>
        </w:tc>
      </w:tr>
      <w:tr>
        <w:tc>
          <w:tcPr>
            <w:tcW w:type="dxa" w:w="2402"/>
            <w:gridSpan w:val="1"/>
            <w:vMerge w:val="continue"/>
          </w:tcPr>
          <w:p/>
        </w:tc>
        <w:tc>
          <w:tcPr>
            <w:tcW w:type="dxa" w:w="7091"/>
          </w:tcPr>
          <w:p w14:paraId="B7050000">
            <w:pPr>
              <w:rPr>
                <w:rFonts w:ascii="Times New Roman" w:hAnsi="Times New Roman"/>
                <w:sz w:val="24"/>
              </w:rPr>
            </w:pPr>
            <w:r>
              <w:rPr>
                <w:rFonts w:ascii="Times New Roman" w:hAnsi="Times New Roman"/>
                <w:sz w:val="24"/>
              </w:rPr>
              <w:t>4. Анализ влияния факторов на прибыль организации. Решение ситуационных задач.</w:t>
            </w:r>
          </w:p>
        </w:tc>
      </w:tr>
      <w:tr>
        <w:tc>
          <w:tcPr>
            <w:tcW w:type="dxa" w:w="2402"/>
            <w:gridSpan w:val="1"/>
            <w:vMerge w:val="continue"/>
          </w:tcPr>
          <w:p/>
        </w:tc>
        <w:tc>
          <w:tcPr>
            <w:tcW w:type="dxa" w:w="7091"/>
          </w:tcPr>
          <w:p w14:paraId="B8050000">
            <w:pPr>
              <w:rPr>
                <w:rFonts w:ascii="Times New Roman" w:hAnsi="Times New Roman"/>
                <w:sz w:val="24"/>
              </w:rPr>
            </w:pPr>
            <w:r>
              <w:rPr>
                <w:rFonts w:ascii="Times New Roman" w:hAnsi="Times New Roman"/>
                <w:sz w:val="24"/>
              </w:rPr>
              <w:t>5. Коэффициентный и факторный  анализ показателей рентабельности. Выявление резервов повышения финансовых результатов. Решение ситуационных задач.</w:t>
            </w:r>
          </w:p>
        </w:tc>
      </w:tr>
      <w:tr>
        <w:tc>
          <w:tcPr>
            <w:tcW w:type="dxa" w:w="2402"/>
            <w:vMerge w:val="restart"/>
          </w:tcPr>
          <w:p w14:paraId="B9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mFlZGQzZmItZDI1Ni00YWRlLWI4MTItNDFhZmE5OTQ0YWQxfOTo8fbo7+vo7eB8fM7x7e7i+yDg7eDr6OfgIOHz9ePg6/Ll8PHq7ukg7vL35fLt7vHy6A==//MDZiOWYxZjQtNGFhMi00NDgxLTkyZmEtZTM2MDVkM2JkMjI2fPLl7OB80uXs4CA0fM7x7e7i+yDg7eDr6OfgIO7y9+Xy4CDu4SDo5+zl7eXt6P/1IOrg7+jy4OvgIA==')"</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3.</w:t>
            </w:r>
            <w:r>
              <w:rPr>
                <w:rFonts w:ascii="Times New Roman" w:hAnsi="Times New Roman"/>
                <w:b w:val="1"/>
                <w:sz w:val="24"/>
                <w:highlight w:val="white"/>
              </w:rPr>
              <w:t>4. Основы анализа отчета об изменениях капитала</w:t>
            </w:r>
            <w:r>
              <w:rPr>
                <w:rFonts w:ascii="Times New Roman" w:hAnsi="Times New Roman"/>
                <w:b w:val="1"/>
                <w:sz w:val="24"/>
                <w:highlight w:val="white"/>
              </w:rPr>
              <w:fldChar w:fldCharType="end"/>
            </w:r>
          </w:p>
        </w:tc>
        <w:tc>
          <w:tcPr>
            <w:tcW w:type="dxa" w:w="7091"/>
          </w:tcPr>
          <w:p w14:paraId="BA050000">
            <w:pPr>
              <w:rPr>
                <w:rFonts w:ascii="Times New Roman" w:hAnsi="Times New Roman"/>
                <w:b w:val="1"/>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BB050000">
            <w:pPr>
              <w:rPr>
                <w:rFonts w:ascii="Times New Roman" w:hAnsi="Times New Roman"/>
                <w:sz w:val="24"/>
              </w:rPr>
            </w:pPr>
            <w:r>
              <w:rPr>
                <w:rFonts w:ascii="Times New Roman" w:hAnsi="Times New Roman"/>
                <w:sz w:val="24"/>
              </w:rPr>
              <w:t>Значение, функции и роль отчета об изменениях капитала в бюджетировании и сметном планировании</w:t>
            </w:r>
          </w:p>
          <w:p w14:paraId="BC050000">
            <w:pPr>
              <w:rPr>
                <w:rFonts w:ascii="Times New Roman" w:hAnsi="Times New Roman"/>
                <w:sz w:val="24"/>
              </w:rPr>
            </w:pPr>
            <w:r>
              <w:rPr>
                <w:rFonts w:ascii="Times New Roman" w:hAnsi="Times New Roman"/>
                <w:sz w:val="24"/>
              </w:rPr>
              <w:t>Анализ состава, структуры и динамики собственного капитала и приравненных к ним средств.</w:t>
            </w:r>
          </w:p>
          <w:p w14:paraId="BD050000">
            <w:pPr>
              <w:rPr>
                <w:rFonts w:ascii="Times New Roman" w:hAnsi="Times New Roman"/>
                <w:b w:val="1"/>
                <w:sz w:val="24"/>
              </w:rPr>
            </w:pPr>
            <w:r>
              <w:rPr>
                <w:rFonts w:ascii="Times New Roman" w:hAnsi="Times New Roman"/>
                <w:sz w:val="24"/>
              </w:rPr>
              <w:t>Анализ эффективности использования капитала организации</w:t>
            </w:r>
          </w:p>
        </w:tc>
      </w:tr>
      <w:tr>
        <w:tc>
          <w:tcPr>
            <w:tcW w:type="dxa" w:w="2402"/>
            <w:gridSpan w:val="1"/>
            <w:vMerge w:val="continue"/>
          </w:tcPr>
          <w:p/>
        </w:tc>
        <w:tc>
          <w:tcPr>
            <w:tcW w:type="dxa" w:w="7091"/>
          </w:tcPr>
          <w:p w14:paraId="BE050000">
            <w:pPr>
              <w:rPr>
                <w:rFonts w:ascii="Times New Roman" w:hAnsi="Times New Roman"/>
                <w:b w:val="1"/>
                <w:sz w:val="24"/>
              </w:rPr>
            </w:pPr>
            <w:r>
              <w:rPr>
                <w:rFonts w:ascii="Times New Roman" w:hAnsi="Times New Roman"/>
                <w:b w:val="1"/>
                <w:sz w:val="24"/>
              </w:rPr>
              <w:t xml:space="preserve">В том числе практических и лабораторных занятий </w:t>
            </w:r>
          </w:p>
        </w:tc>
      </w:tr>
      <w:tr>
        <w:tc>
          <w:tcPr>
            <w:tcW w:type="dxa" w:w="2402"/>
            <w:gridSpan w:val="1"/>
            <w:vMerge w:val="continue"/>
          </w:tcPr>
          <w:p/>
        </w:tc>
        <w:tc>
          <w:tcPr>
            <w:tcW w:type="dxa" w:w="7091"/>
          </w:tcPr>
          <w:p w14:paraId="BF050000">
            <w:pPr>
              <w:rPr>
                <w:rFonts w:ascii="Times New Roman" w:hAnsi="Times New Roman"/>
                <w:sz w:val="24"/>
              </w:rPr>
            </w:pPr>
            <w:r>
              <w:rPr>
                <w:rFonts w:ascii="Times New Roman" w:hAnsi="Times New Roman"/>
                <w:sz w:val="24"/>
              </w:rPr>
              <w:t>1. Состав и структура отчета об изменениях капитала. Решение ситуационных задач.</w:t>
            </w:r>
          </w:p>
        </w:tc>
      </w:tr>
      <w:tr>
        <w:tc>
          <w:tcPr>
            <w:tcW w:type="dxa" w:w="2402"/>
            <w:gridSpan w:val="1"/>
            <w:vMerge w:val="continue"/>
          </w:tcPr>
          <w:p/>
        </w:tc>
        <w:tc>
          <w:tcPr>
            <w:tcW w:type="dxa" w:w="7091"/>
          </w:tcPr>
          <w:p w14:paraId="C0050000">
            <w:pPr>
              <w:ind/>
              <w:jc w:val="both"/>
              <w:rPr>
                <w:rFonts w:ascii="Times New Roman" w:hAnsi="Times New Roman"/>
                <w:sz w:val="24"/>
              </w:rPr>
            </w:pPr>
            <w:r>
              <w:rPr>
                <w:rFonts w:ascii="Times New Roman" w:hAnsi="Times New Roman"/>
                <w:sz w:val="24"/>
              </w:rPr>
              <w:t>2. Анализ состава собственного капитала и приравненных к ним средств. Решение ситуационных задач.</w:t>
            </w:r>
          </w:p>
        </w:tc>
      </w:tr>
      <w:tr>
        <w:tc>
          <w:tcPr>
            <w:tcW w:type="dxa" w:w="2402"/>
            <w:gridSpan w:val="1"/>
            <w:vMerge w:val="continue"/>
          </w:tcPr>
          <w:p/>
        </w:tc>
        <w:tc>
          <w:tcPr>
            <w:tcW w:type="dxa" w:w="7091"/>
          </w:tcPr>
          <w:p w14:paraId="C1050000">
            <w:pPr>
              <w:ind/>
              <w:jc w:val="both"/>
              <w:rPr>
                <w:rFonts w:ascii="Times New Roman" w:hAnsi="Times New Roman"/>
                <w:sz w:val="24"/>
              </w:rPr>
            </w:pPr>
            <w:r>
              <w:rPr>
                <w:rFonts w:ascii="Times New Roman" w:hAnsi="Times New Roman"/>
                <w:sz w:val="24"/>
              </w:rPr>
              <w:t>3. Анализ структуры собственного капитала и приравненных к ним средств. Решение ситуационных задач.</w:t>
            </w:r>
          </w:p>
        </w:tc>
      </w:tr>
      <w:tr>
        <w:tc>
          <w:tcPr>
            <w:tcW w:type="dxa" w:w="2402"/>
            <w:gridSpan w:val="1"/>
            <w:vMerge w:val="continue"/>
          </w:tcPr>
          <w:p/>
        </w:tc>
        <w:tc>
          <w:tcPr>
            <w:tcW w:type="dxa" w:w="7091"/>
          </w:tcPr>
          <w:p w14:paraId="C2050000">
            <w:pPr>
              <w:ind/>
              <w:jc w:val="both"/>
              <w:rPr>
                <w:rFonts w:ascii="Times New Roman" w:hAnsi="Times New Roman"/>
                <w:sz w:val="24"/>
              </w:rPr>
            </w:pPr>
            <w:r>
              <w:rPr>
                <w:rFonts w:ascii="Times New Roman" w:hAnsi="Times New Roman"/>
                <w:sz w:val="24"/>
              </w:rPr>
              <w:t>4. Анализ динамики собственного капитала и приравненных к ним средств. Решение ситуационных задач.</w:t>
            </w:r>
          </w:p>
        </w:tc>
      </w:tr>
      <w:tr>
        <w:tc>
          <w:tcPr>
            <w:tcW w:type="dxa" w:w="2402"/>
            <w:gridSpan w:val="1"/>
            <w:vMerge w:val="continue"/>
          </w:tcPr>
          <w:p/>
        </w:tc>
        <w:tc>
          <w:tcPr>
            <w:tcW w:type="dxa" w:w="7091"/>
          </w:tcPr>
          <w:p w14:paraId="C3050000">
            <w:pPr>
              <w:rPr>
                <w:rFonts w:ascii="Times New Roman" w:hAnsi="Times New Roman"/>
                <w:sz w:val="24"/>
              </w:rPr>
            </w:pPr>
            <w:r>
              <w:rPr>
                <w:rFonts w:ascii="Times New Roman" w:hAnsi="Times New Roman"/>
                <w:sz w:val="24"/>
              </w:rPr>
              <w:t>5. Оценочные показатели движения и эффективности использования собственного капитала. Решение ситуационных задач.</w:t>
            </w:r>
          </w:p>
        </w:tc>
      </w:tr>
      <w:tr>
        <w:tc>
          <w:tcPr>
            <w:tcW w:type="dxa" w:w="2402"/>
            <w:vMerge w:val="restart"/>
          </w:tcPr>
          <w:p w14:paraId="C4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mFlZGQzZmItZDI1Ni00YWRlLWI4MTItNDFhZmE5OTQ0YWQxfOTo8fbo7+vo7eB8fM7x7e7i+yDg7eDr6OfgIOHz9ePg6/Ll8PHq7ukg7vL35fLt7vHy6A==//ODkyNmI1OTEtZWM3NS00ZGNkLTk0Y2YtZmJmMGNlMTBjZTMyfPLl7OB80uXs4CA1fM7x7e7i+yDg7eDr6OfgIO7y9+Xy4CDuIOTi6Obl7ejoIOTl7eXm7fv1IPHw5eTx8uI=')"</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3.</w:t>
            </w:r>
            <w:r>
              <w:rPr>
                <w:rFonts w:ascii="Times New Roman" w:hAnsi="Times New Roman"/>
                <w:b w:val="1"/>
                <w:sz w:val="24"/>
                <w:highlight w:val="white"/>
              </w:rPr>
              <w:t>5. Основы анализа отчета о движении денежных средств</w:t>
            </w:r>
            <w:r>
              <w:rPr>
                <w:rFonts w:ascii="Times New Roman" w:hAnsi="Times New Roman"/>
                <w:b w:val="1"/>
                <w:sz w:val="24"/>
                <w:highlight w:val="white"/>
              </w:rPr>
              <w:fldChar w:fldCharType="end"/>
            </w:r>
          </w:p>
        </w:tc>
        <w:tc>
          <w:tcPr>
            <w:tcW w:type="dxa" w:w="7091"/>
          </w:tcPr>
          <w:p w14:paraId="C5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C6050000">
            <w:pPr>
              <w:rPr>
                <w:rFonts w:ascii="Times New Roman" w:hAnsi="Times New Roman"/>
                <w:sz w:val="24"/>
              </w:rPr>
            </w:pPr>
            <w:r>
              <w:rPr>
                <w:rFonts w:ascii="Times New Roman" w:hAnsi="Times New Roman"/>
                <w:sz w:val="24"/>
              </w:rPr>
              <w:t>Значение, функции и роль отчета о движении денежных средств в бюджетировании и управлении денежными потоками организации</w:t>
            </w:r>
          </w:p>
          <w:p w14:paraId="C7050000">
            <w:pPr>
              <w:rPr>
                <w:rFonts w:ascii="Times New Roman" w:hAnsi="Times New Roman"/>
                <w:sz w:val="24"/>
              </w:rPr>
            </w:pPr>
            <w:r>
              <w:rPr>
                <w:rFonts w:ascii="Times New Roman" w:hAnsi="Times New Roman"/>
                <w:sz w:val="24"/>
              </w:rPr>
              <w:t>Анализ денежных средств в различных видах деятельности организации и оценка инвестиционной привлекательности</w:t>
            </w:r>
          </w:p>
          <w:p w14:paraId="C8050000">
            <w:pPr>
              <w:rPr>
                <w:rFonts w:ascii="Times New Roman" w:hAnsi="Times New Roman"/>
                <w:sz w:val="24"/>
              </w:rPr>
            </w:pPr>
            <w:r>
              <w:rPr>
                <w:rFonts w:ascii="Times New Roman" w:hAnsi="Times New Roman"/>
                <w:sz w:val="24"/>
              </w:rPr>
              <w:t>Анализ  и оценка взаимосвязи показателей  бухгалтерского баланса, отчета о финансовых результатах и отчета о движении денежных средств</w:t>
            </w:r>
          </w:p>
        </w:tc>
      </w:tr>
      <w:tr>
        <w:tc>
          <w:tcPr>
            <w:tcW w:type="dxa" w:w="2402"/>
            <w:gridSpan w:val="1"/>
            <w:vMerge w:val="continue"/>
          </w:tcPr>
          <w:p/>
        </w:tc>
        <w:tc>
          <w:tcPr>
            <w:tcW w:type="dxa" w:w="7091"/>
          </w:tcPr>
          <w:p w14:paraId="C9050000">
            <w:pPr>
              <w:rPr>
                <w:rFonts w:ascii="Times New Roman" w:hAnsi="Times New Roman"/>
                <w:sz w:val="24"/>
              </w:rPr>
            </w:pPr>
            <w:r>
              <w:rPr>
                <w:rFonts w:ascii="Times New Roman" w:hAnsi="Times New Roman"/>
                <w:b w:val="1"/>
                <w:sz w:val="24"/>
              </w:rPr>
              <w:t>В том числе практических и лабораторных занятий</w:t>
            </w:r>
          </w:p>
        </w:tc>
      </w:tr>
      <w:tr>
        <w:tc>
          <w:tcPr>
            <w:tcW w:type="dxa" w:w="2402"/>
            <w:gridSpan w:val="1"/>
            <w:vMerge w:val="continue"/>
          </w:tcPr>
          <w:p/>
        </w:tc>
        <w:tc>
          <w:tcPr>
            <w:tcW w:type="dxa" w:w="7091"/>
          </w:tcPr>
          <w:p w14:paraId="CA050000">
            <w:pPr>
              <w:spacing w:afterAutospacing="on" w:beforeAutospacing="on"/>
              <w:ind/>
              <w:jc w:val="both"/>
              <w:rPr>
                <w:rFonts w:ascii="Times New Roman" w:hAnsi="Times New Roman"/>
                <w:sz w:val="24"/>
              </w:rPr>
            </w:pPr>
            <w:r>
              <w:rPr>
                <w:rFonts w:ascii="Times New Roman" w:hAnsi="Times New Roman"/>
                <w:sz w:val="24"/>
              </w:rPr>
              <w:t>1. Анализ денежных потоков от текущей, инвестиционной и финансовой деятельности. Решение ситуационных задач.</w:t>
            </w:r>
          </w:p>
        </w:tc>
      </w:tr>
      <w:tr>
        <w:tc>
          <w:tcPr>
            <w:tcW w:type="dxa" w:w="2402"/>
            <w:gridSpan w:val="1"/>
            <w:vMerge w:val="continue"/>
          </w:tcPr>
          <w:p/>
        </w:tc>
        <w:tc>
          <w:tcPr>
            <w:tcW w:type="dxa" w:w="7091"/>
          </w:tcPr>
          <w:p w14:paraId="CB050000">
            <w:pPr>
              <w:spacing w:afterAutospacing="on" w:beforeAutospacing="on"/>
              <w:ind/>
              <w:jc w:val="both"/>
              <w:rPr>
                <w:rFonts w:ascii="Times New Roman" w:hAnsi="Times New Roman"/>
                <w:sz w:val="24"/>
              </w:rPr>
            </w:pPr>
            <w:r>
              <w:rPr>
                <w:rFonts w:ascii="Times New Roman" w:hAnsi="Times New Roman"/>
                <w:sz w:val="24"/>
              </w:rPr>
              <w:t>2. Оценка достаточности чистых денежных потоков по видам деятельности. Решение ситуационных задач.</w:t>
            </w:r>
          </w:p>
        </w:tc>
      </w:tr>
      <w:tr>
        <w:tc>
          <w:tcPr>
            <w:tcW w:type="dxa" w:w="2402"/>
            <w:gridSpan w:val="1"/>
            <w:vMerge w:val="continue"/>
          </w:tcPr>
          <w:p/>
        </w:tc>
        <w:tc>
          <w:tcPr>
            <w:tcW w:type="dxa" w:w="7091"/>
          </w:tcPr>
          <w:p w14:paraId="CC050000">
            <w:pPr>
              <w:spacing w:afterAutospacing="on" w:beforeAutospacing="on"/>
              <w:ind/>
              <w:jc w:val="both"/>
              <w:rPr>
                <w:rFonts w:ascii="Times New Roman" w:hAnsi="Times New Roman"/>
                <w:sz w:val="24"/>
              </w:rPr>
            </w:pPr>
            <w:r>
              <w:rPr>
                <w:rFonts w:ascii="Times New Roman" w:hAnsi="Times New Roman"/>
                <w:sz w:val="24"/>
              </w:rPr>
              <w:t>3. Анализ денежных потоков прямым и косвенным методами. Решение ситуационных задач.</w:t>
            </w:r>
          </w:p>
        </w:tc>
      </w:tr>
      <w:tr>
        <w:tc>
          <w:tcPr>
            <w:tcW w:type="dxa" w:w="2402"/>
            <w:gridSpan w:val="1"/>
            <w:vMerge w:val="continue"/>
          </w:tcPr>
          <w:p/>
        </w:tc>
        <w:tc>
          <w:tcPr>
            <w:tcW w:type="dxa" w:w="7091"/>
          </w:tcPr>
          <w:p w14:paraId="CD050000">
            <w:pPr>
              <w:spacing w:afterAutospacing="on" w:beforeAutospacing="on"/>
              <w:ind/>
              <w:jc w:val="both"/>
              <w:rPr>
                <w:rFonts w:ascii="Times New Roman" w:hAnsi="Times New Roman"/>
                <w:sz w:val="24"/>
              </w:rPr>
            </w:pPr>
            <w:r>
              <w:rPr>
                <w:rFonts w:ascii="Times New Roman" w:hAnsi="Times New Roman"/>
                <w:sz w:val="24"/>
              </w:rPr>
              <w:t>4. Оценка равномерности и сбалансированности денежных потоков. Решение ситуационных задач.</w:t>
            </w:r>
          </w:p>
        </w:tc>
      </w:tr>
      <w:tr>
        <w:tc>
          <w:tcPr>
            <w:tcW w:type="dxa" w:w="2402"/>
            <w:gridSpan w:val="1"/>
            <w:vMerge w:val="continue"/>
          </w:tcPr>
          <w:p/>
        </w:tc>
        <w:tc>
          <w:tcPr>
            <w:tcW w:type="dxa" w:w="7091"/>
          </w:tcPr>
          <w:p w14:paraId="CE050000">
            <w:pPr>
              <w:spacing w:afterAutospacing="on" w:beforeAutospacing="on"/>
              <w:ind/>
              <w:jc w:val="both"/>
              <w:rPr>
                <w:rFonts w:ascii="Times New Roman" w:hAnsi="Times New Roman"/>
                <w:sz w:val="24"/>
              </w:rPr>
            </w:pPr>
            <w:r>
              <w:rPr>
                <w:rFonts w:ascii="Times New Roman" w:hAnsi="Times New Roman"/>
                <w:sz w:val="24"/>
              </w:rPr>
              <w:t>5. Оценка взаимосвязи показателей бухгалтерского баланса, отчета о прибылях и убытках и отчета и движении денежных средств в целях установления причин недостатка или избытка денежной массы. Решение ситуационных задач.</w:t>
            </w:r>
          </w:p>
        </w:tc>
      </w:tr>
      <w:tr>
        <w:tc>
          <w:tcPr>
            <w:tcW w:type="dxa" w:w="2402"/>
            <w:vMerge w:val="restart"/>
          </w:tcPr>
          <w:p w14:paraId="CF050000">
            <w:pPr>
              <w:ind/>
              <w:jc w:val="center"/>
              <w:rPr>
                <w:rFonts w:ascii="Times New Roman" w:hAnsi="Times New Roman"/>
                <w:b w:val="1"/>
                <w:sz w:val="24"/>
              </w:rPr>
            </w:pPr>
            <w:r>
              <w:rPr>
                <w:rFonts w:ascii="Times New Roman" w:hAnsi="Times New Roman"/>
                <w:b w:val="1"/>
                <w:sz w:val="24"/>
                <w:highlight w:val="white"/>
              </w:rPr>
              <w:fldChar w:fldCharType="begin"/>
            </w:r>
            <w:r>
              <w:rPr>
                <w:rFonts w:ascii="Times New Roman" w:hAnsi="Times New Roman"/>
                <w:b w:val="1"/>
                <w:sz w:val="24"/>
                <w:highlight w:val="white"/>
              </w:rPr>
              <w:instrText>HYPERLINK "javascript:__doPostBack('ctl00$ctl00$ParentContent$ContentLeftPart$tvTema','sYmFlZGQzZmItZDI1Ni00YWRlLWI4MTItNDFhZmE5OTQ0YWQxfOTo8fbo7+vo7eB8fM7x7e7i+yDg7eDr6OfgIOHz9ePg6/Ll8PHq7ukg7vL35fLt7vHy6A==//ODI5YzJiMjEtMzBmOS00NjdiLTg3NGUtZWIzOTQxY2U5MmZhfPLl7OB80uXs4CA2fM7x7e7i+yDq7uzv6+Xq8e3u6SDu9uXt6ugg5OX/8uXr/O3u8fLoIO7w4+Dt6Ofg9ujoIO/uIOTg7e377CDh8/Xj4Ovy5fDx6u7pICj06O3g7fHu4u7pKSDu8vfl8u3u8fLo')"</w:instrText>
            </w:r>
            <w:r>
              <w:rPr>
                <w:rFonts w:ascii="Times New Roman" w:hAnsi="Times New Roman"/>
                <w:b w:val="1"/>
                <w:sz w:val="24"/>
                <w:highlight w:val="white"/>
              </w:rPr>
              <w:fldChar w:fldCharType="separate"/>
            </w:r>
            <w:r>
              <w:rPr>
                <w:rFonts w:ascii="Times New Roman" w:hAnsi="Times New Roman"/>
                <w:b w:val="1"/>
                <w:sz w:val="24"/>
                <w:highlight w:val="white"/>
              </w:rPr>
              <w:t xml:space="preserve">Тема </w:t>
            </w:r>
            <w:r>
              <w:rPr>
                <w:rFonts w:ascii="Times New Roman" w:hAnsi="Times New Roman"/>
                <w:b w:val="1"/>
                <w:sz w:val="24"/>
                <w:highlight w:val="white"/>
              </w:rPr>
              <w:t>3.</w:t>
            </w:r>
            <w:r>
              <w:rPr>
                <w:rFonts w:ascii="Times New Roman" w:hAnsi="Times New Roman"/>
                <w:b w:val="1"/>
                <w:sz w:val="24"/>
                <w:highlight w:val="white"/>
              </w:rPr>
              <w:t>6. Основы комплексной оценки деятельности организации по данным бухгалтерской (финансовой) отчетности</w:t>
            </w:r>
            <w:r>
              <w:rPr>
                <w:rFonts w:ascii="Times New Roman" w:hAnsi="Times New Roman"/>
                <w:b w:val="1"/>
                <w:sz w:val="24"/>
                <w:highlight w:val="white"/>
              </w:rPr>
              <w:fldChar w:fldCharType="end"/>
            </w:r>
          </w:p>
        </w:tc>
        <w:tc>
          <w:tcPr>
            <w:tcW w:type="dxa" w:w="7091"/>
          </w:tcPr>
          <w:p w14:paraId="D0050000">
            <w:pPr>
              <w:rPr>
                <w:rFonts w:ascii="Times New Roman" w:hAnsi="Times New Roman"/>
                <w:sz w:val="24"/>
              </w:rPr>
            </w:pPr>
            <w:r>
              <w:rPr>
                <w:rFonts w:ascii="Times New Roman" w:hAnsi="Times New Roman"/>
                <w:b w:val="1"/>
                <w:sz w:val="24"/>
              </w:rPr>
              <w:t>Содержание</w:t>
            </w:r>
          </w:p>
        </w:tc>
      </w:tr>
      <w:tr>
        <w:tc>
          <w:tcPr>
            <w:tcW w:type="dxa" w:w="2402"/>
            <w:gridSpan w:val="1"/>
            <w:vMerge w:val="continue"/>
          </w:tcPr>
          <w:p/>
        </w:tc>
        <w:tc>
          <w:tcPr>
            <w:tcW w:type="dxa" w:w="7091"/>
          </w:tcPr>
          <w:p w14:paraId="D1050000">
            <w:pPr>
              <w:rPr>
                <w:rFonts w:ascii="Times New Roman" w:hAnsi="Times New Roman"/>
                <w:sz w:val="24"/>
              </w:rPr>
            </w:pPr>
            <w:r>
              <w:rPr>
                <w:rFonts w:ascii="Times New Roman" w:hAnsi="Times New Roman"/>
                <w:sz w:val="24"/>
              </w:rPr>
              <w:t>Анализ прочей информации, содержащейся в приложениях к бухгалтерской (финансовой) отчетности</w:t>
            </w:r>
          </w:p>
          <w:p w14:paraId="D2050000">
            <w:pPr>
              <w:rPr>
                <w:rFonts w:ascii="Times New Roman" w:hAnsi="Times New Roman"/>
                <w:sz w:val="24"/>
              </w:rPr>
            </w:pPr>
            <w:r>
              <w:rPr>
                <w:rFonts w:ascii="Times New Roman" w:hAnsi="Times New Roman"/>
                <w:sz w:val="24"/>
              </w:rPr>
              <w:t>Общая оценка деловой активности экономического субъекта</w:t>
            </w:r>
          </w:p>
          <w:p w14:paraId="D3050000">
            <w:pPr>
              <w:rPr>
                <w:rFonts w:ascii="Times New Roman" w:hAnsi="Times New Roman"/>
                <w:sz w:val="24"/>
              </w:rPr>
            </w:pPr>
            <w:r>
              <w:rPr>
                <w:rFonts w:ascii="Times New Roman" w:hAnsi="Times New Roman"/>
                <w:sz w:val="24"/>
              </w:rPr>
              <w:t>Формирование обоснованных выводов по результатам анализа бухгалтерской (финансовой) отчетности и их отражение в аналитическом отчете</w:t>
            </w:r>
          </w:p>
        </w:tc>
      </w:tr>
      <w:tr>
        <w:tc>
          <w:tcPr>
            <w:tcW w:type="dxa" w:w="2402"/>
            <w:gridSpan w:val="1"/>
            <w:vMerge w:val="continue"/>
          </w:tcPr>
          <w:p/>
        </w:tc>
        <w:tc>
          <w:tcPr>
            <w:tcW w:type="dxa" w:w="7091"/>
          </w:tcPr>
          <w:p w14:paraId="D4050000">
            <w:pPr>
              <w:rPr>
                <w:rFonts w:ascii="Times New Roman" w:hAnsi="Times New Roman"/>
                <w:sz w:val="24"/>
              </w:rPr>
            </w:pPr>
            <w:r>
              <w:rPr>
                <w:rFonts w:ascii="Times New Roman" w:hAnsi="Times New Roman"/>
                <w:b w:val="1"/>
                <w:sz w:val="24"/>
              </w:rPr>
              <w:t>В том числе практических и лабораторных занятий</w:t>
            </w:r>
          </w:p>
        </w:tc>
      </w:tr>
      <w:tr>
        <w:tc>
          <w:tcPr>
            <w:tcW w:type="dxa" w:w="2402"/>
            <w:gridSpan w:val="1"/>
            <w:vMerge w:val="continue"/>
          </w:tcPr>
          <w:p/>
        </w:tc>
        <w:tc>
          <w:tcPr>
            <w:tcW w:type="dxa" w:w="7091"/>
          </w:tcPr>
          <w:p w14:paraId="D5050000">
            <w:pPr>
              <w:rPr>
                <w:rFonts w:ascii="Times New Roman" w:hAnsi="Times New Roman"/>
                <w:b w:val="1"/>
                <w:sz w:val="24"/>
              </w:rPr>
            </w:pPr>
            <w:r>
              <w:rPr>
                <w:rFonts w:ascii="Times New Roman" w:hAnsi="Times New Roman"/>
                <w:sz w:val="24"/>
              </w:rPr>
              <w:t>1. Бухгалтерская отчетность как информационная база финансового анализа. Виды отчетности организации. Варианты формирования бухгалтерской отчетности. Решение ситуационных задач.</w:t>
            </w:r>
          </w:p>
        </w:tc>
      </w:tr>
      <w:tr>
        <w:tc>
          <w:tcPr>
            <w:tcW w:type="dxa" w:w="2402"/>
            <w:gridSpan w:val="1"/>
            <w:vMerge w:val="continue"/>
          </w:tcPr>
          <w:p/>
        </w:tc>
        <w:tc>
          <w:tcPr>
            <w:tcW w:type="dxa" w:w="7091"/>
          </w:tcPr>
          <w:p w14:paraId="D6050000">
            <w:pPr>
              <w:rPr>
                <w:rFonts w:ascii="Times New Roman" w:hAnsi="Times New Roman"/>
                <w:sz w:val="24"/>
              </w:rPr>
            </w:pPr>
            <w:r>
              <w:rPr>
                <w:rFonts w:ascii="Times New Roman" w:hAnsi="Times New Roman"/>
                <w:sz w:val="24"/>
              </w:rPr>
              <w:t>2. Анализ прочей информации, содержащейся в приложениях к бухгалтерской (финансовой) отчетности. Решение ситуационных задач.</w:t>
            </w:r>
          </w:p>
        </w:tc>
      </w:tr>
      <w:tr>
        <w:tc>
          <w:tcPr>
            <w:tcW w:type="dxa" w:w="2402"/>
            <w:gridSpan w:val="1"/>
            <w:vMerge w:val="continue"/>
          </w:tcPr>
          <w:p/>
        </w:tc>
        <w:tc>
          <w:tcPr>
            <w:tcW w:type="dxa" w:w="7091"/>
          </w:tcPr>
          <w:p w14:paraId="D7050000">
            <w:pPr>
              <w:rPr>
                <w:rFonts w:ascii="Times New Roman" w:hAnsi="Times New Roman"/>
                <w:sz w:val="24"/>
              </w:rPr>
            </w:pPr>
            <w:r>
              <w:rPr>
                <w:rFonts w:ascii="Times New Roman" w:hAnsi="Times New Roman"/>
                <w:sz w:val="24"/>
              </w:rPr>
              <w:t>3. Общая оценка деловой активности экономического субъекта. Решение ситуационных задач.</w:t>
            </w:r>
          </w:p>
        </w:tc>
      </w:tr>
      <w:tr>
        <w:tc>
          <w:tcPr>
            <w:tcW w:type="dxa" w:w="2402"/>
            <w:gridSpan w:val="1"/>
            <w:vMerge w:val="continue"/>
          </w:tcPr>
          <w:p/>
        </w:tc>
        <w:tc>
          <w:tcPr>
            <w:tcW w:type="dxa" w:w="7091"/>
          </w:tcPr>
          <w:p w14:paraId="D8050000">
            <w:pPr>
              <w:rPr>
                <w:rFonts w:ascii="Times New Roman" w:hAnsi="Times New Roman"/>
                <w:sz w:val="24"/>
              </w:rPr>
            </w:pPr>
            <w:r>
              <w:rPr>
                <w:rFonts w:ascii="Times New Roman" w:hAnsi="Times New Roman"/>
                <w:sz w:val="24"/>
              </w:rPr>
              <w:t>4. Формирование обоснованных выводов по результатам анализа бухгалтерской (финансовой) отчетности и их отражение в аналитическом отчете. Решение ситуационных задач.</w:t>
            </w:r>
          </w:p>
        </w:tc>
      </w:tr>
      <w:tr>
        <w:trPr>
          <w:trHeight w:hRule="atLeast" w:val="1068"/>
        </w:trPr>
        <w:tc>
          <w:tcPr>
            <w:tcW w:type="dxa" w:w="9493"/>
            <w:gridSpan w:val="2"/>
          </w:tcPr>
          <w:p w14:paraId="D9050000">
            <w:pPr>
              <w:rPr>
                <w:rFonts w:ascii="Times New Roman" w:hAnsi="Times New Roman"/>
                <w:b w:val="1"/>
                <w:i w:val="1"/>
                <w:sz w:val="24"/>
              </w:rPr>
            </w:pPr>
            <w:r>
              <w:rPr>
                <w:rFonts w:ascii="Times New Roman" w:hAnsi="Times New Roman"/>
                <w:b w:val="1"/>
                <w:sz w:val="24"/>
              </w:rPr>
              <w:t xml:space="preserve">Примерная тематика самостоятельной учебной работы при изучении </w:t>
            </w:r>
            <w:r>
              <w:rPr>
                <w:rFonts w:ascii="Times New Roman" w:hAnsi="Times New Roman"/>
                <w:b w:val="1"/>
                <w:i w:val="1"/>
                <w:sz w:val="24"/>
              </w:rPr>
              <w:t xml:space="preserve">раздела </w:t>
            </w:r>
          </w:p>
        </w:tc>
      </w:tr>
      <w:tr>
        <w:tc>
          <w:tcPr>
            <w:tcW w:type="dxa" w:w="9493"/>
            <w:gridSpan w:val="2"/>
          </w:tcPr>
          <w:p w14:paraId="DA050000">
            <w:pPr>
              <w:rPr>
                <w:rFonts w:ascii="Times New Roman" w:hAnsi="Times New Roman"/>
                <w:b w:val="1"/>
                <w:i w:val="1"/>
                <w:sz w:val="24"/>
              </w:rPr>
            </w:pPr>
            <w:r>
              <w:rPr>
                <w:rFonts w:ascii="Times New Roman" w:hAnsi="Times New Roman"/>
                <w:b w:val="1"/>
                <w:sz w:val="24"/>
              </w:rPr>
              <w:t xml:space="preserve">Учебная практика </w:t>
            </w:r>
          </w:p>
          <w:p w14:paraId="DB050000">
            <w:pPr>
              <w:rPr>
                <w:rFonts w:ascii="Times New Roman" w:hAnsi="Times New Roman"/>
                <w:b w:val="1"/>
                <w:sz w:val="24"/>
              </w:rPr>
            </w:pPr>
            <w:r>
              <w:rPr>
                <w:rFonts w:ascii="Times New Roman" w:hAnsi="Times New Roman"/>
                <w:b w:val="1"/>
                <w:sz w:val="24"/>
              </w:rPr>
              <w:t xml:space="preserve">Виды работ: </w:t>
            </w:r>
          </w:p>
          <w:p w14:paraId="DC050000">
            <w:pPr>
              <w:numPr>
                <w:ilvl w:val="0"/>
                <w:numId w:val="14"/>
              </w:numPr>
              <w:tabs>
                <w:tab w:leader="none" w:pos="13740" w:val="left"/>
                <w:tab w:leader="none" w:pos="14656" w:val="left"/>
              </w:tabs>
              <w:ind w:hanging="262" w:left="284"/>
              <w:jc w:val="both"/>
              <w:rPr>
                <w:rFonts w:ascii="Times New Roman" w:hAnsi="Times New Roman"/>
              </w:rPr>
            </w:pPr>
            <w:r>
              <w:rPr>
                <w:rFonts w:ascii="Times New Roman" w:hAnsi="Times New Roman"/>
              </w:rPr>
              <w:t xml:space="preserve">Проведение инвентаризации товарно-материальных ценностей на складе. </w:t>
            </w:r>
          </w:p>
          <w:p w14:paraId="DD050000">
            <w:pPr>
              <w:numPr>
                <w:ilvl w:val="0"/>
                <w:numId w:val="14"/>
              </w:numPr>
              <w:tabs>
                <w:tab w:leader="none" w:pos="13740" w:val="left"/>
                <w:tab w:leader="none" w:pos="14656" w:val="left"/>
              </w:tabs>
              <w:ind w:hanging="262" w:left="284"/>
              <w:jc w:val="both"/>
              <w:rPr>
                <w:rFonts w:ascii="Times New Roman" w:hAnsi="Times New Roman"/>
              </w:rPr>
            </w:pPr>
            <w:r>
              <w:rPr>
                <w:rFonts w:ascii="Times New Roman" w:hAnsi="Times New Roman"/>
              </w:rPr>
              <w:t>Оформление результатов проведенной инвентаризации товарно-материальных ценностей в учете</w:t>
            </w:r>
          </w:p>
          <w:p w14:paraId="DE050000">
            <w:pPr>
              <w:numPr>
                <w:ilvl w:val="0"/>
                <w:numId w:val="14"/>
              </w:numPr>
              <w:tabs>
                <w:tab w:leader="none" w:pos="13740" w:val="left"/>
                <w:tab w:leader="none" w:pos="14656" w:val="left"/>
              </w:tabs>
              <w:ind w:hanging="262" w:left="284"/>
              <w:jc w:val="both"/>
              <w:rPr>
                <w:rFonts w:ascii="Times New Roman" w:hAnsi="Times New Roman"/>
              </w:rPr>
            </w:pPr>
            <w:r>
              <w:rPr>
                <w:rFonts w:ascii="Times New Roman" w:hAnsi="Times New Roman"/>
              </w:rPr>
              <w:t xml:space="preserve">Формирование акта сверки расчетов с контрагентами. </w:t>
            </w:r>
          </w:p>
          <w:p w14:paraId="DF050000">
            <w:pPr>
              <w:numPr>
                <w:ilvl w:val="0"/>
                <w:numId w:val="14"/>
              </w:numPr>
              <w:tabs>
                <w:tab w:leader="none" w:pos="13740" w:val="left"/>
                <w:tab w:leader="none" w:pos="14656" w:val="left"/>
              </w:tabs>
              <w:ind w:hanging="262" w:left="284"/>
              <w:jc w:val="both"/>
              <w:rPr>
                <w:rFonts w:ascii="Times New Roman" w:hAnsi="Times New Roman"/>
              </w:rPr>
            </w:pPr>
            <w:r>
              <w:rPr>
                <w:rFonts w:ascii="Times New Roman" w:hAnsi="Times New Roman"/>
              </w:rPr>
              <w:t xml:space="preserve">Оформление результатов проведенной инвентаризации дебиторской и кредиторской задолженности в учете. </w:t>
            </w:r>
          </w:p>
          <w:p w14:paraId="E0050000">
            <w:pPr>
              <w:numPr>
                <w:ilvl w:val="0"/>
                <w:numId w:val="14"/>
              </w:numPr>
              <w:tabs>
                <w:tab w:leader="none" w:pos="13740" w:val="left"/>
                <w:tab w:leader="none" w:pos="14656" w:val="left"/>
              </w:tabs>
              <w:ind w:hanging="262" w:left="284"/>
              <w:jc w:val="both"/>
              <w:rPr>
                <w:rFonts w:ascii="Times New Roman" w:hAnsi="Times New Roman"/>
              </w:rPr>
            </w:pPr>
            <w:r>
              <w:rPr>
                <w:rFonts w:ascii="Times New Roman" w:hAnsi="Times New Roman"/>
              </w:rPr>
              <w:t>Заполнение журнала фактов хозяйственной жизни.</w:t>
            </w:r>
          </w:p>
          <w:p w14:paraId="E1050000">
            <w:pPr>
              <w:numPr>
                <w:ilvl w:val="0"/>
                <w:numId w:val="14"/>
              </w:numPr>
              <w:tabs>
                <w:tab w:leader="none" w:pos="13740" w:val="left"/>
                <w:tab w:leader="none" w:pos="14656" w:val="left"/>
              </w:tabs>
              <w:ind w:hanging="262" w:left="284"/>
              <w:jc w:val="both"/>
              <w:rPr>
                <w:rFonts w:ascii="Times New Roman" w:hAnsi="Times New Roman"/>
              </w:rPr>
            </w:pPr>
            <w:r>
              <w:rPr>
                <w:rFonts w:ascii="Times New Roman" w:hAnsi="Times New Roman"/>
              </w:rPr>
              <w:t>Определение результатов хозяйственной деятельности за отчетный период.</w:t>
            </w:r>
          </w:p>
          <w:p w14:paraId="E2050000">
            <w:pPr>
              <w:numPr>
                <w:ilvl w:val="0"/>
                <w:numId w:val="14"/>
              </w:numPr>
              <w:tabs>
                <w:tab w:leader="none" w:pos="13740" w:val="left"/>
                <w:tab w:leader="none" w:pos="14656" w:val="left"/>
              </w:tabs>
              <w:ind w:hanging="262" w:left="284"/>
              <w:jc w:val="both"/>
              <w:rPr>
                <w:rFonts w:ascii="Times New Roman" w:hAnsi="Times New Roman"/>
              </w:rPr>
            </w:pPr>
            <w:r>
              <w:rPr>
                <w:rFonts w:ascii="Times New Roman" w:hAnsi="Times New Roman"/>
              </w:rPr>
              <w:t>Закрытие учетных бухгалтерских регистров.</w:t>
            </w:r>
          </w:p>
          <w:p w14:paraId="E3050000">
            <w:pPr>
              <w:numPr>
                <w:ilvl w:val="0"/>
                <w:numId w:val="14"/>
              </w:numPr>
              <w:tabs>
                <w:tab w:leader="none" w:pos="13740" w:val="left"/>
                <w:tab w:leader="none" w:pos="14656" w:val="left"/>
              </w:tabs>
              <w:ind w:hanging="262" w:left="284"/>
              <w:jc w:val="both"/>
              <w:rPr>
                <w:rFonts w:ascii="Times New Roman" w:hAnsi="Times New Roman"/>
              </w:rPr>
            </w:pPr>
            <w:r>
              <w:rPr>
                <w:rFonts w:ascii="Times New Roman" w:hAnsi="Times New Roman"/>
              </w:rPr>
              <w:t>Заполнение форм бухгалтерской (финансовой) отчетности: бухгалтерского баланса.</w:t>
            </w:r>
          </w:p>
          <w:p w14:paraId="E4050000">
            <w:pPr>
              <w:numPr>
                <w:ilvl w:val="0"/>
                <w:numId w:val="14"/>
              </w:numPr>
              <w:tabs>
                <w:tab w:leader="none" w:pos="13740" w:val="left"/>
                <w:tab w:leader="none" w:pos="14656" w:val="left"/>
              </w:tabs>
              <w:ind w:hanging="262" w:left="284"/>
              <w:jc w:val="both"/>
              <w:rPr>
                <w:rFonts w:ascii="Times New Roman" w:hAnsi="Times New Roman"/>
              </w:rPr>
            </w:pPr>
            <w:r>
              <w:rPr>
                <w:rFonts w:ascii="Times New Roman" w:hAnsi="Times New Roman"/>
              </w:rPr>
              <w:t xml:space="preserve">Заполнение форм бухгалтерской (финансовой) отчетности: отчета о финансовых результатах. </w:t>
            </w:r>
          </w:p>
          <w:p w14:paraId="E5050000">
            <w:pPr>
              <w:numPr>
                <w:ilvl w:val="0"/>
                <w:numId w:val="14"/>
              </w:numPr>
              <w:tabs>
                <w:tab w:leader="none" w:pos="426" w:val="left"/>
              </w:tabs>
              <w:ind w:hanging="262" w:left="284"/>
              <w:jc w:val="both"/>
              <w:rPr>
                <w:rFonts w:ascii="Times New Roman" w:hAnsi="Times New Roman"/>
              </w:rPr>
            </w:pPr>
            <w:r>
              <w:rPr>
                <w:rFonts w:ascii="Times New Roman" w:hAnsi="Times New Roman"/>
              </w:rPr>
              <w:t xml:space="preserve">Заполнение форм бухгалтерской (финансовой) отчетности: отчета об изменениях капитала. </w:t>
            </w:r>
          </w:p>
          <w:p w14:paraId="E6050000">
            <w:pPr>
              <w:numPr>
                <w:ilvl w:val="0"/>
                <w:numId w:val="14"/>
              </w:numPr>
              <w:tabs>
                <w:tab w:leader="none" w:pos="426" w:val="left"/>
              </w:tabs>
              <w:ind w:hanging="262" w:left="284"/>
              <w:jc w:val="both"/>
              <w:rPr>
                <w:rFonts w:ascii="Times New Roman" w:hAnsi="Times New Roman"/>
              </w:rPr>
            </w:pPr>
            <w:r>
              <w:rPr>
                <w:rFonts w:ascii="Times New Roman" w:hAnsi="Times New Roman"/>
              </w:rPr>
              <w:t>Заполнение форм бухгалтерской (финансовой) отчетности: отчета о движении денежных средств.</w:t>
            </w:r>
          </w:p>
          <w:p w14:paraId="E7050000">
            <w:pPr>
              <w:numPr>
                <w:ilvl w:val="0"/>
                <w:numId w:val="14"/>
              </w:numPr>
              <w:tabs>
                <w:tab w:leader="none" w:pos="426" w:val="left"/>
              </w:tabs>
              <w:ind w:hanging="262" w:left="284"/>
              <w:jc w:val="both"/>
              <w:rPr>
                <w:rFonts w:ascii="Times New Roman" w:hAnsi="Times New Roman"/>
                <w:spacing w:val="-4"/>
              </w:rPr>
            </w:pPr>
            <w:r>
              <w:rPr>
                <w:rFonts w:ascii="Times New Roman" w:hAnsi="Times New Roman"/>
                <w:spacing w:val="-4"/>
              </w:rPr>
              <w:t>Заполнение форм бухгалтерской (финансовой) отчетности: пояснений к бухгалтерскому балансу и отчету о финансовых результатах.</w:t>
            </w:r>
          </w:p>
          <w:p w14:paraId="E8050000">
            <w:pPr>
              <w:numPr>
                <w:ilvl w:val="0"/>
                <w:numId w:val="14"/>
              </w:numPr>
              <w:tabs>
                <w:tab w:leader="none" w:pos="426" w:val="left"/>
              </w:tabs>
              <w:ind w:hanging="262" w:left="284"/>
              <w:jc w:val="both"/>
              <w:rPr>
                <w:rFonts w:ascii="Times New Roman" w:hAnsi="Times New Roman"/>
                <w:b w:val="1"/>
                <w:spacing w:val="-4"/>
                <w:sz w:val="24"/>
              </w:rPr>
            </w:pPr>
            <w:r>
              <w:rPr>
                <w:rFonts w:ascii="Times New Roman" w:hAnsi="Times New Roman"/>
                <w:spacing w:val="-4"/>
              </w:rPr>
              <w:t>Отражение изменений в учетной политике в целях бухгалтерского учета.</w:t>
            </w:r>
          </w:p>
          <w:p w14:paraId="E9050000">
            <w:pPr>
              <w:tabs>
                <w:tab w:leader="none" w:pos="14656" w:val="left"/>
              </w:tabs>
              <w:ind w:hanging="284" w:left="284"/>
              <w:jc w:val="both"/>
              <w:rPr>
                <w:rFonts w:ascii="Times New Roman" w:hAnsi="Times New Roman"/>
                <w:spacing w:val="-4"/>
              </w:rPr>
            </w:pPr>
            <w:r>
              <w:rPr>
                <w:rFonts w:ascii="Times New Roman" w:hAnsi="Times New Roman"/>
                <w:spacing w:val="-4"/>
              </w:rPr>
              <w:t>10. Внесение исправлений в бухгалтерскую отчетность.</w:t>
            </w:r>
          </w:p>
          <w:p w14:paraId="EA050000">
            <w:pPr>
              <w:tabs>
                <w:tab w:leader="none" w:pos="14656" w:val="left"/>
              </w:tabs>
              <w:ind w:hanging="284" w:left="284"/>
              <w:jc w:val="both"/>
              <w:rPr>
                <w:rFonts w:ascii="Times New Roman" w:hAnsi="Times New Roman"/>
                <w:b w:val="1"/>
                <w:sz w:val="24"/>
              </w:rPr>
            </w:pPr>
            <w:r>
              <w:rPr>
                <w:rFonts w:ascii="Times New Roman" w:hAnsi="Times New Roman"/>
                <w:spacing w:val="-4"/>
              </w:rPr>
              <w:t>Оформить и защитить Отчет по учебной практике</w:t>
            </w:r>
          </w:p>
        </w:tc>
      </w:tr>
      <w:tr>
        <w:tc>
          <w:tcPr>
            <w:tcW w:type="dxa" w:w="9493"/>
            <w:gridSpan w:val="2"/>
          </w:tcPr>
          <w:p w14:paraId="EB050000">
            <w:pPr>
              <w:rPr>
                <w:rFonts w:ascii="Times New Roman" w:hAnsi="Times New Roman"/>
                <w:b w:val="1"/>
                <w:sz w:val="24"/>
              </w:rPr>
            </w:pPr>
            <w:r>
              <w:rPr>
                <w:rFonts w:ascii="Times New Roman" w:hAnsi="Times New Roman"/>
                <w:b w:val="1"/>
                <w:sz w:val="24"/>
              </w:rPr>
              <w:t xml:space="preserve">Производственная практика </w:t>
            </w:r>
          </w:p>
          <w:p w14:paraId="EC050000">
            <w:pPr>
              <w:rPr>
                <w:rFonts w:ascii="Times New Roman" w:hAnsi="Times New Roman"/>
                <w:b w:val="1"/>
                <w:sz w:val="24"/>
              </w:rPr>
            </w:pPr>
            <w:r>
              <w:rPr>
                <w:rFonts w:ascii="Times New Roman" w:hAnsi="Times New Roman"/>
                <w:b w:val="1"/>
                <w:sz w:val="24"/>
              </w:rPr>
              <w:t>Виды работ:</w:t>
            </w:r>
          </w:p>
          <w:p w14:paraId="ED050000">
            <w:pPr>
              <w:ind/>
              <w:jc w:val="both"/>
              <w:rPr>
                <w:rFonts w:ascii="Times New Roman" w:hAnsi="Times New Roman"/>
                <w:sz w:val="24"/>
              </w:rPr>
            </w:pPr>
            <w:r>
              <w:rPr>
                <w:rFonts w:ascii="Times New Roman" w:hAnsi="Times New Roman"/>
              </w:rPr>
              <w:t>1</w:t>
            </w:r>
            <w:r>
              <w:rPr>
                <w:rFonts w:ascii="Times New Roman" w:hAnsi="Times New Roman"/>
                <w:sz w:val="24"/>
              </w:rPr>
              <w:t>. Ознакомление деятельностью организации.</w:t>
            </w:r>
          </w:p>
          <w:p w14:paraId="EE050000">
            <w:pPr>
              <w:ind/>
              <w:jc w:val="both"/>
              <w:rPr>
                <w:rFonts w:ascii="Times New Roman" w:hAnsi="Times New Roman"/>
                <w:sz w:val="24"/>
              </w:rPr>
            </w:pPr>
            <w:r>
              <w:rPr>
                <w:rFonts w:ascii="Times New Roman" w:hAnsi="Times New Roman"/>
                <w:sz w:val="24"/>
              </w:rPr>
              <w:t>2. Ознакомление с правилами внутреннего распорядка и техникой безопасности на рабочем месте.</w:t>
            </w:r>
          </w:p>
          <w:p w14:paraId="EF050000">
            <w:pPr>
              <w:ind/>
              <w:jc w:val="both"/>
              <w:rPr>
                <w:rFonts w:ascii="Times New Roman" w:hAnsi="Times New Roman"/>
                <w:sz w:val="24"/>
              </w:rPr>
            </w:pPr>
            <w:r>
              <w:rPr>
                <w:rFonts w:ascii="Times New Roman" w:hAnsi="Times New Roman"/>
                <w:sz w:val="24"/>
              </w:rPr>
              <w:t>3. Ознакомиться с учредительными документами и Уставом.</w:t>
            </w:r>
          </w:p>
          <w:p w14:paraId="F0050000">
            <w:pPr>
              <w:ind/>
              <w:jc w:val="both"/>
              <w:rPr>
                <w:rFonts w:ascii="Times New Roman" w:hAnsi="Times New Roman"/>
                <w:sz w:val="24"/>
              </w:rPr>
            </w:pPr>
            <w:r>
              <w:rPr>
                <w:rFonts w:ascii="Times New Roman" w:hAnsi="Times New Roman"/>
                <w:sz w:val="24"/>
              </w:rPr>
              <w:t>4. Ознакомление с приказом об учетной политике организации.</w:t>
            </w:r>
          </w:p>
          <w:p w14:paraId="F1050000">
            <w:pPr>
              <w:ind/>
              <w:jc w:val="both"/>
              <w:rPr>
                <w:rFonts w:ascii="Times New Roman" w:hAnsi="Times New Roman"/>
                <w:sz w:val="24"/>
              </w:rPr>
            </w:pPr>
            <w:r>
              <w:rPr>
                <w:rFonts w:ascii="Times New Roman" w:hAnsi="Times New Roman"/>
                <w:sz w:val="24"/>
              </w:rPr>
              <w:t xml:space="preserve">5. Ознакомление </w:t>
            </w:r>
            <w:r>
              <w:rPr>
                <w:rFonts w:ascii="Times New Roman" w:hAnsi="Times New Roman"/>
                <w:sz w:val="24"/>
              </w:rPr>
              <w:t>с порядком заполнения и составления инвентаризационных описей, проведения физического подсчета имущества.</w:t>
            </w:r>
          </w:p>
          <w:p w14:paraId="F2050000">
            <w:pPr>
              <w:ind/>
              <w:jc w:val="both"/>
              <w:rPr>
                <w:rFonts w:ascii="Times New Roman" w:hAnsi="Times New Roman"/>
                <w:sz w:val="24"/>
              </w:rPr>
            </w:pPr>
            <w:r>
              <w:rPr>
                <w:rFonts w:ascii="Times New Roman" w:hAnsi="Times New Roman"/>
                <w:sz w:val="24"/>
              </w:rPr>
              <w:t>6.  Ознакомление с порядком отражения в учете результатов инвентаризации.</w:t>
            </w:r>
          </w:p>
          <w:p w14:paraId="F3050000">
            <w:pPr>
              <w:ind/>
              <w:jc w:val="both"/>
              <w:rPr>
                <w:rFonts w:ascii="Times New Roman" w:hAnsi="Times New Roman"/>
                <w:sz w:val="24"/>
              </w:rPr>
            </w:pPr>
            <w:r>
              <w:rPr>
                <w:rFonts w:ascii="Times New Roman" w:hAnsi="Times New Roman"/>
                <w:sz w:val="24"/>
              </w:rPr>
              <w:t>7. Изучение порядка выполнения работ по подготовке к проведению инвентаризации основных средств.</w:t>
            </w:r>
          </w:p>
          <w:p w14:paraId="F4050000">
            <w:pPr>
              <w:ind/>
              <w:jc w:val="both"/>
              <w:rPr>
                <w:rFonts w:ascii="Times New Roman" w:hAnsi="Times New Roman"/>
                <w:sz w:val="24"/>
              </w:rPr>
            </w:pPr>
            <w:r>
              <w:rPr>
                <w:rFonts w:ascii="Times New Roman" w:hAnsi="Times New Roman"/>
                <w:sz w:val="24"/>
              </w:rPr>
              <w:t xml:space="preserve">8. Изучение порядка определения перечня инвентаризируемых объектов основных средств. </w:t>
            </w:r>
          </w:p>
          <w:p w14:paraId="F5050000">
            <w:pPr>
              <w:ind/>
              <w:jc w:val="both"/>
              <w:rPr>
                <w:rFonts w:ascii="Times New Roman" w:hAnsi="Times New Roman"/>
                <w:sz w:val="24"/>
              </w:rPr>
            </w:pPr>
            <w:r>
              <w:rPr>
                <w:rFonts w:ascii="Times New Roman" w:hAnsi="Times New Roman"/>
                <w:sz w:val="24"/>
              </w:rPr>
              <w:t xml:space="preserve">9. Ознакомление с порядком заполнения инвентаризационных описей с учетом особенностей инвентаризируемых объектов основных средств. </w:t>
            </w:r>
          </w:p>
          <w:p w14:paraId="F6050000">
            <w:pPr>
              <w:ind/>
              <w:jc w:val="both"/>
              <w:rPr>
                <w:rFonts w:ascii="Times New Roman" w:hAnsi="Times New Roman"/>
                <w:sz w:val="24"/>
              </w:rPr>
            </w:pPr>
            <w:r>
              <w:rPr>
                <w:rFonts w:ascii="Times New Roman" w:hAnsi="Times New Roman"/>
                <w:sz w:val="24"/>
              </w:rPr>
              <w:t xml:space="preserve">10. Проведение документального оформления и оценка неучтенных объектов основных средств. Заполнение сличительных ведомостей. </w:t>
            </w:r>
          </w:p>
          <w:p w14:paraId="F7050000">
            <w:pPr>
              <w:ind/>
              <w:jc w:val="both"/>
              <w:rPr>
                <w:rFonts w:ascii="Times New Roman" w:hAnsi="Times New Roman"/>
                <w:sz w:val="24"/>
              </w:rPr>
            </w:pPr>
            <w:r>
              <w:rPr>
                <w:rFonts w:ascii="Times New Roman" w:hAnsi="Times New Roman"/>
                <w:sz w:val="24"/>
              </w:rPr>
              <w:t xml:space="preserve">11. Изучение порядка отражения в учете инвентаризируемых объектов основных средств и отчетности результатов инвентаризации объектов основных средств. </w:t>
            </w:r>
          </w:p>
          <w:p w14:paraId="F8050000">
            <w:pPr>
              <w:ind/>
              <w:jc w:val="both"/>
              <w:rPr>
                <w:rFonts w:ascii="Times New Roman" w:hAnsi="Times New Roman"/>
                <w:sz w:val="24"/>
              </w:rPr>
            </w:pPr>
            <w:r>
              <w:rPr>
                <w:rFonts w:ascii="Times New Roman" w:hAnsi="Times New Roman"/>
                <w:sz w:val="24"/>
              </w:rPr>
              <w:t>12. Описание порядка оформления результатов инвентаризации основных средств.</w:t>
            </w:r>
          </w:p>
          <w:p w14:paraId="F9050000">
            <w:pPr>
              <w:ind/>
              <w:jc w:val="both"/>
              <w:rPr>
                <w:rFonts w:ascii="Times New Roman" w:hAnsi="Times New Roman"/>
                <w:sz w:val="24"/>
              </w:rPr>
            </w:pPr>
            <w:r>
              <w:rPr>
                <w:rFonts w:ascii="Times New Roman" w:hAnsi="Times New Roman"/>
                <w:sz w:val="24"/>
              </w:rPr>
              <w:t xml:space="preserve">13. Изучение порядка проведения инвентаризации нематериальных активов. Ознакомление с порядком подготовки к проведению инвентаризации нематериальных активов. </w:t>
            </w:r>
          </w:p>
          <w:p w14:paraId="FA050000">
            <w:pPr>
              <w:ind/>
              <w:jc w:val="both"/>
              <w:rPr>
                <w:rFonts w:ascii="Times New Roman" w:hAnsi="Times New Roman"/>
                <w:sz w:val="24"/>
              </w:rPr>
            </w:pPr>
            <w:r>
              <w:rPr>
                <w:rFonts w:ascii="Times New Roman" w:hAnsi="Times New Roman"/>
                <w:sz w:val="24"/>
              </w:rPr>
              <w:t xml:space="preserve">14. Определение перечня инвентаризируемых нематериальных активов. </w:t>
            </w:r>
          </w:p>
          <w:p w14:paraId="FB050000">
            <w:pPr>
              <w:ind/>
              <w:jc w:val="both"/>
              <w:rPr>
                <w:rFonts w:ascii="Times New Roman" w:hAnsi="Times New Roman"/>
                <w:sz w:val="24"/>
              </w:rPr>
            </w:pPr>
            <w:r>
              <w:rPr>
                <w:rFonts w:ascii="Times New Roman" w:hAnsi="Times New Roman"/>
                <w:sz w:val="24"/>
              </w:rPr>
              <w:t xml:space="preserve">15. Проверка наличия документов, подтверждающих права организации на использование нематериальных активов. </w:t>
            </w:r>
          </w:p>
          <w:p w14:paraId="FC050000">
            <w:pPr>
              <w:ind/>
              <w:jc w:val="both"/>
              <w:rPr>
                <w:rFonts w:ascii="Times New Roman" w:hAnsi="Times New Roman"/>
                <w:sz w:val="24"/>
              </w:rPr>
            </w:pPr>
            <w:r>
              <w:rPr>
                <w:rFonts w:ascii="Times New Roman" w:hAnsi="Times New Roman"/>
                <w:sz w:val="24"/>
              </w:rPr>
              <w:t xml:space="preserve">16. Проверка правильности и своевременности отражения нематериальных активов в бухгалтерском учете. </w:t>
            </w:r>
          </w:p>
          <w:p w14:paraId="FD050000">
            <w:pPr>
              <w:ind/>
              <w:jc w:val="both"/>
              <w:rPr>
                <w:rFonts w:ascii="Times New Roman" w:hAnsi="Times New Roman"/>
                <w:sz w:val="24"/>
              </w:rPr>
            </w:pPr>
            <w:r>
              <w:rPr>
                <w:rFonts w:ascii="Times New Roman" w:hAnsi="Times New Roman"/>
                <w:sz w:val="24"/>
              </w:rPr>
              <w:t>17. Описание порядка оформления в учете результатов инвентаризации нематериальных активов, отражение их в отчетности.</w:t>
            </w:r>
          </w:p>
          <w:p w14:paraId="FE050000">
            <w:pPr>
              <w:ind/>
              <w:jc w:val="both"/>
              <w:rPr>
                <w:rFonts w:ascii="Times New Roman" w:hAnsi="Times New Roman"/>
                <w:sz w:val="24"/>
              </w:rPr>
            </w:pPr>
            <w:r>
              <w:rPr>
                <w:rFonts w:ascii="Times New Roman" w:hAnsi="Times New Roman"/>
                <w:sz w:val="24"/>
              </w:rPr>
              <w:t xml:space="preserve">18. Ознакомление с порядком проведения и оформления инвентаризации материально-производственных запасов. </w:t>
            </w:r>
          </w:p>
          <w:p w14:paraId="FF050000">
            <w:pPr>
              <w:ind/>
              <w:jc w:val="both"/>
              <w:rPr>
                <w:rFonts w:ascii="Times New Roman" w:hAnsi="Times New Roman"/>
                <w:sz w:val="24"/>
              </w:rPr>
            </w:pPr>
            <w:r>
              <w:rPr>
                <w:rFonts w:ascii="Times New Roman" w:hAnsi="Times New Roman"/>
                <w:sz w:val="24"/>
              </w:rPr>
              <w:t xml:space="preserve">19. Изучение порядка оформления результатов инвентаризации запасов. </w:t>
            </w:r>
          </w:p>
          <w:p w14:paraId="00060000">
            <w:pPr>
              <w:ind/>
              <w:jc w:val="both"/>
              <w:rPr>
                <w:rFonts w:ascii="Times New Roman" w:hAnsi="Times New Roman"/>
                <w:sz w:val="24"/>
              </w:rPr>
            </w:pPr>
            <w:r>
              <w:rPr>
                <w:rFonts w:ascii="Times New Roman" w:hAnsi="Times New Roman"/>
                <w:sz w:val="24"/>
              </w:rPr>
              <w:t xml:space="preserve">20. Изучение порядка проведения инвентаризации незавершённого производства. </w:t>
            </w:r>
          </w:p>
          <w:p w14:paraId="01060000">
            <w:pPr>
              <w:ind/>
              <w:jc w:val="both"/>
              <w:rPr>
                <w:rFonts w:ascii="Times New Roman" w:hAnsi="Times New Roman"/>
                <w:sz w:val="24"/>
              </w:rPr>
            </w:pPr>
            <w:r>
              <w:rPr>
                <w:rFonts w:ascii="Times New Roman" w:hAnsi="Times New Roman"/>
                <w:sz w:val="24"/>
              </w:rPr>
              <w:t xml:space="preserve">21. Описание порядка проведения и отражения в учете инвентаризации запасов. </w:t>
            </w:r>
          </w:p>
          <w:p w14:paraId="02060000">
            <w:pPr>
              <w:ind/>
              <w:jc w:val="both"/>
              <w:rPr>
                <w:rFonts w:ascii="Times New Roman" w:hAnsi="Times New Roman"/>
                <w:sz w:val="24"/>
              </w:rPr>
            </w:pPr>
            <w:r>
              <w:rPr>
                <w:rFonts w:ascii="Times New Roman" w:hAnsi="Times New Roman"/>
                <w:sz w:val="24"/>
              </w:rPr>
              <w:t>22. Ознакомление с порядком проведения и оформления результатов инвентаризации дебиторской и кредиторской задолженности.</w:t>
            </w:r>
          </w:p>
          <w:p w14:paraId="03060000">
            <w:pPr>
              <w:ind/>
              <w:jc w:val="both"/>
              <w:rPr>
                <w:rFonts w:ascii="Times New Roman" w:hAnsi="Times New Roman"/>
                <w:sz w:val="24"/>
              </w:rPr>
            </w:pPr>
            <w:r>
              <w:rPr>
                <w:rFonts w:ascii="Times New Roman" w:hAnsi="Times New Roman"/>
                <w:sz w:val="24"/>
              </w:rPr>
              <w:t xml:space="preserve">23.  Изучение методологии организации и ведения учета задолженности, нереальной к взысканию. </w:t>
            </w:r>
          </w:p>
          <w:p w14:paraId="04060000">
            <w:pPr>
              <w:ind/>
              <w:jc w:val="both"/>
              <w:rPr>
                <w:rFonts w:ascii="Times New Roman" w:hAnsi="Times New Roman"/>
                <w:sz w:val="24"/>
              </w:rPr>
            </w:pPr>
            <w:r>
              <w:rPr>
                <w:rFonts w:ascii="Times New Roman" w:hAnsi="Times New Roman"/>
                <w:sz w:val="24"/>
              </w:rPr>
              <w:t xml:space="preserve">24 Выявление особенностей учета проведения инвентаризации дебиторской и кредиторской задолженности экономического субъекта. </w:t>
            </w:r>
          </w:p>
          <w:p w14:paraId="05060000">
            <w:pPr>
              <w:ind/>
              <w:jc w:val="both"/>
              <w:rPr>
                <w:rFonts w:ascii="Times New Roman" w:hAnsi="Times New Roman"/>
                <w:sz w:val="24"/>
              </w:rPr>
            </w:pPr>
            <w:r>
              <w:rPr>
                <w:rFonts w:ascii="Times New Roman" w:hAnsi="Times New Roman"/>
                <w:sz w:val="24"/>
              </w:rPr>
              <w:t xml:space="preserve">25. Определение порядка проведения и оформления результатов расчетов. </w:t>
            </w:r>
          </w:p>
          <w:p w14:paraId="06060000">
            <w:pPr>
              <w:ind/>
              <w:jc w:val="both"/>
              <w:rPr>
                <w:rFonts w:ascii="Times New Roman" w:hAnsi="Times New Roman"/>
                <w:sz w:val="24"/>
              </w:rPr>
            </w:pPr>
            <w:r>
              <w:rPr>
                <w:rFonts w:ascii="Times New Roman" w:hAnsi="Times New Roman"/>
                <w:sz w:val="24"/>
              </w:rPr>
              <w:t xml:space="preserve">26. Описание технологии определения реального состояния расчетов. </w:t>
            </w:r>
          </w:p>
          <w:p w14:paraId="07060000">
            <w:pPr>
              <w:ind/>
              <w:jc w:val="both"/>
              <w:rPr>
                <w:rFonts w:ascii="Times New Roman" w:hAnsi="Times New Roman"/>
                <w:sz w:val="24"/>
              </w:rPr>
            </w:pPr>
            <w:r>
              <w:rPr>
                <w:rFonts w:ascii="Times New Roman" w:hAnsi="Times New Roman"/>
                <w:sz w:val="24"/>
              </w:rPr>
              <w:t xml:space="preserve">27. Описание порядка оформления инвентаризации Инвентаризация недостач и потерь от порчи ценностей, целевого финансирования, доходов будущих периодов. </w:t>
            </w:r>
          </w:p>
          <w:p w14:paraId="08060000">
            <w:pPr>
              <w:ind/>
              <w:jc w:val="both"/>
              <w:rPr>
                <w:rFonts w:ascii="Times New Roman" w:hAnsi="Times New Roman"/>
                <w:sz w:val="24"/>
              </w:rPr>
            </w:pPr>
            <w:r>
              <w:rPr>
                <w:rFonts w:ascii="Times New Roman" w:hAnsi="Times New Roman"/>
                <w:sz w:val="24"/>
              </w:rPr>
              <w:t xml:space="preserve">28. Организация и методика проведения внутреннего контроля по объектам учета. </w:t>
            </w:r>
          </w:p>
          <w:p w14:paraId="09060000">
            <w:pPr>
              <w:ind/>
              <w:jc w:val="both"/>
              <w:rPr>
                <w:rFonts w:ascii="Times New Roman" w:hAnsi="Times New Roman"/>
                <w:sz w:val="24"/>
              </w:rPr>
            </w:pPr>
            <w:r>
              <w:rPr>
                <w:rFonts w:ascii="Times New Roman" w:hAnsi="Times New Roman"/>
                <w:sz w:val="24"/>
              </w:rPr>
              <w:t>29. Порядок формирования рабочих документов внутреннего контроля.</w:t>
            </w:r>
          </w:p>
          <w:p w14:paraId="0A060000">
            <w:pPr>
              <w:ind/>
              <w:jc w:val="both"/>
              <w:rPr>
                <w:rFonts w:ascii="Times New Roman" w:hAnsi="Times New Roman"/>
                <w:sz w:val="24"/>
              </w:rPr>
            </w:pPr>
            <w:r>
              <w:rPr>
                <w:rFonts w:ascii="Times New Roman" w:hAnsi="Times New Roman"/>
                <w:sz w:val="24"/>
              </w:rPr>
              <w:t>30.Порядок формирования отчета о документальной проверке</w:t>
            </w:r>
          </w:p>
          <w:p w14:paraId="0B060000">
            <w:pPr>
              <w:ind/>
              <w:jc w:val="both"/>
              <w:rPr>
                <w:rFonts w:ascii="Times New Roman" w:hAnsi="Times New Roman"/>
              </w:rPr>
            </w:pPr>
            <w:r>
              <w:rPr>
                <w:rFonts w:ascii="Times New Roman" w:hAnsi="Times New Roman"/>
              </w:rPr>
              <w:t>31. Изучение состава бухгалтерской и налоговой отчетности.</w:t>
            </w:r>
          </w:p>
          <w:p w14:paraId="0C060000">
            <w:pPr>
              <w:ind/>
              <w:jc w:val="both"/>
              <w:rPr>
                <w:rFonts w:ascii="Times New Roman" w:hAnsi="Times New Roman"/>
              </w:rPr>
            </w:pPr>
            <w:r>
              <w:rPr>
                <w:rFonts w:ascii="Times New Roman" w:hAnsi="Times New Roman"/>
              </w:rPr>
              <w:t>6. Ознакомление с порядком ведения счетов аналитического и синтетического учета, Главной книги.</w:t>
            </w:r>
          </w:p>
          <w:p w14:paraId="0D060000">
            <w:pPr>
              <w:ind/>
              <w:jc w:val="both"/>
              <w:rPr>
                <w:rFonts w:ascii="Times New Roman" w:hAnsi="Times New Roman"/>
              </w:rPr>
            </w:pPr>
            <w:r>
              <w:rPr>
                <w:rFonts w:ascii="Times New Roman" w:hAnsi="Times New Roman"/>
              </w:rPr>
              <w:t>7. Изучение бухгалтерского баланса организации, порядка оценки его статей.</w:t>
            </w:r>
          </w:p>
          <w:p w14:paraId="0E060000">
            <w:pPr>
              <w:ind/>
              <w:jc w:val="both"/>
              <w:rPr>
                <w:rFonts w:ascii="Times New Roman" w:hAnsi="Times New Roman"/>
              </w:rPr>
            </w:pPr>
            <w:r>
              <w:rPr>
                <w:rFonts w:ascii="Times New Roman" w:hAnsi="Times New Roman"/>
              </w:rPr>
              <w:t>8. Изучение регистров учета, на основе которых составляется бухгалтерский баланс.</w:t>
            </w:r>
          </w:p>
          <w:p w14:paraId="0F060000">
            <w:pPr>
              <w:ind/>
              <w:jc w:val="both"/>
              <w:rPr>
                <w:rFonts w:ascii="Times New Roman" w:hAnsi="Times New Roman"/>
              </w:rPr>
            </w:pPr>
            <w:r>
              <w:rPr>
                <w:rFonts w:ascii="Times New Roman" w:hAnsi="Times New Roman"/>
              </w:rPr>
              <w:t>9. Изучение порядка и сроков представления бухгалтерского баланса.</w:t>
            </w:r>
          </w:p>
          <w:p w14:paraId="10060000">
            <w:pPr>
              <w:ind/>
              <w:jc w:val="both"/>
              <w:rPr>
                <w:rFonts w:ascii="Times New Roman" w:hAnsi="Times New Roman"/>
              </w:rPr>
            </w:pPr>
            <w:r>
              <w:rPr>
                <w:rFonts w:ascii="Times New Roman" w:hAnsi="Times New Roman"/>
              </w:rPr>
              <w:t>10. Изучение отчет о финансовых результатах организации, порядка оценки его статей.</w:t>
            </w:r>
          </w:p>
          <w:p w14:paraId="11060000">
            <w:pPr>
              <w:ind/>
              <w:jc w:val="both"/>
              <w:rPr>
                <w:rFonts w:ascii="Times New Roman" w:hAnsi="Times New Roman"/>
              </w:rPr>
            </w:pPr>
            <w:r>
              <w:rPr>
                <w:rFonts w:ascii="Times New Roman" w:hAnsi="Times New Roman"/>
              </w:rPr>
              <w:t>11. Изучение порядка формирования доходов и расходов организации в соответствии с учетной политикой.</w:t>
            </w:r>
          </w:p>
          <w:p w14:paraId="12060000">
            <w:pPr>
              <w:ind/>
              <w:jc w:val="both"/>
              <w:rPr>
                <w:rFonts w:ascii="Times New Roman" w:hAnsi="Times New Roman"/>
              </w:rPr>
            </w:pPr>
            <w:r>
              <w:rPr>
                <w:rFonts w:ascii="Times New Roman" w:hAnsi="Times New Roman"/>
              </w:rPr>
              <w:t>12. Изучение регистров учета, на основе которых составляется отчет о финансовых результатах.</w:t>
            </w:r>
          </w:p>
          <w:p w14:paraId="13060000">
            <w:pPr>
              <w:ind/>
              <w:jc w:val="both"/>
              <w:rPr>
                <w:rFonts w:ascii="Times New Roman" w:hAnsi="Times New Roman"/>
              </w:rPr>
            </w:pPr>
            <w:r>
              <w:rPr>
                <w:rFonts w:ascii="Times New Roman" w:hAnsi="Times New Roman"/>
              </w:rPr>
              <w:t>13. Изучение порядка и сроков представления отчет о финансовых результатах.</w:t>
            </w:r>
          </w:p>
          <w:p w14:paraId="14060000">
            <w:pPr>
              <w:ind/>
              <w:jc w:val="both"/>
              <w:rPr>
                <w:rFonts w:ascii="Times New Roman" w:hAnsi="Times New Roman"/>
              </w:rPr>
            </w:pPr>
            <w:r>
              <w:rPr>
                <w:rFonts w:ascii="Times New Roman" w:hAnsi="Times New Roman"/>
              </w:rPr>
              <w:t>14. Изучение отчета о движении денежных средств прядок оценки их статей.</w:t>
            </w:r>
          </w:p>
          <w:p w14:paraId="15060000">
            <w:pPr>
              <w:ind/>
              <w:jc w:val="both"/>
              <w:rPr>
                <w:rFonts w:ascii="Times New Roman" w:hAnsi="Times New Roman"/>
              </w:rPr>
            </w:pPr>
            <w:r>
              <w:rPr>
                <w:rFonts w:ascii="Times New Roman" w:hAnsi="Times New Roman"/>
              </w:rPr>
              <w:t>15. Изучение регистров учета, на основе которых составляется отчет движении денежных средств.</w:t>
            </w:r>
          </w:p>
          <w:p w14:paraId="16060000">
            <w:pPr>
              <w:ind/>
              <w:jc w:val="both"/>
              <w:rPr>
                <w:rFonts w:ascii="Times New Roman" w:hAnsi="Times New Roman"/>
              </w:rPr>
            </w:pPr>
            <w:r>
              <w:rPr>
                <w:rFonts w:ascii="Times New Roman" w:hAnsi="Times New Roman"/>
              </w:rPr>
              <w:t>16. Изучение порядка и сроков представления отчета о движении денежных средств.</w:t>
            </w:r>
          </w:p>
          <w:p w14:paraId="17060000">
            <w:pPr>
              <w:ind/>
              <w:jc w:val="both"/>
              <w:rPr>
                <w:rFonts w:ascii="Times New Roman" w:hAnsi="Times New Roman"/>
              </w:rPr>
            </w:pPr>
            <w:r>
              <w:rPr>
                <w:rFonts w:ascii="Times New Roman" w:hAnsi="Times New Roman"/>
              </w:rPr>
              <w:t>17. Изучение отчета об изменениях капитала, прядка оценки его статей.</w:t>
            </w:r>
          </w:p>
          <w:p w14:paraId="18060000">
            <w:pPr>
              <w:ind/>
              <w:jc w:val="both"/>
              <w:rPr>
                <w:rFonts w:ascii="Times New Roman" w:hAnsi="Times New Roman"/>
              </w:rPr>
            </w:pPr>
            <w:r>
              <w:rPr>
                <w:rFonts w:ascii="Times New Roman" w:hAnsi="Times New Roman"/>
              </w:rPr>
              <w:t>15. Изучение регистров учета, на основе которых составляется отчет об изменениях капитала.</w:t>
            </w:r>
          </w:p>
          <w:p w14:paraId="19060000">
            <w:pPr>
              <w:ind/>
              <w:jc w:val="both"/>
              <w:rPr>
                <w:rFonts w:ascii="Times New Roman" w:hAnsi="Times New Roman"/>
              </w:rPr>
            </w:pPr>
            <w:r>
              <w:rPr>
                <w:rFonts w:ascii="Times New Roman" w:hAnsi="Times New Roman"/>
              </w:rPr>
              <w:t>16. Изучение порядка и сроков представления отчета  об изменениях капитала.</w:t>
            </w:r>
          </w:p>
          <w:p w14:paraId="1A060000">
            <w:pPr>
              <w:ind/>
              <w:jc w:val="both"/>
              <w:rPr>
                <w:rFonts w:ascii="Times New Roman" w:hAnsi="Times New Roman"/>
              </w:rPr>
            </w:pPr>
            <w:r>
              <w:rPr>
                <w:rFonts w:ascii="Times New Roman" w:hAnsi="Times New Roman"/>
              </w:rPr>
              <w:t>17. Ознакомление со структурой и содержанием пояснений к бухгалтерской (финансовой) отчетности.</w:t>
            </w:r>
          </w:p>
          <w:p w14:paraId="1B060000">
            <w:pPr>
              <w:ind/>
              <w:jc w:val="both"/>
              <w:rPr>
                <w:rFonts w:ascii="Times New Roman" w:hAnsi="Times New Roman"/>
              </w:rPr>
            </w:pPr>
            <w:r>
              <w:rPr>
                <w:rFonts w:ascii="Times New Roman" w:hAnsi="Times New Roman"/>
              </w:rPr>
              <w:t>18. Ознакомление со статистической отчетностью, составляемой организацией.</w:t>
            </w:r>
          </w:p>
          <w:p w14:paraId="1C060000">
            <w:pPr>
              <w:ind/>
              <w:jc w:val="both"/>
              <w:rPr>
                <w:rFonts w:ascii="Times New Roman" w:hAnsi="Times New Roman"/>
              </w:rPr>
            </w:pPr>
            <w:r>
              <w:rPr>
                <w:rFonts w:ascii="Times New Roman" w:hAnsi="Times New Roman"/>
              </w:rPr>
              <w:t>19. Проведение анализа бухгалтерского баланса.</w:t>
            </w:r>
          </w:p>
          <w:p w14:paraId="1D060000">
            <w:pPr>
              <w:ind/>
              <w:jc w:val="both"/>
              <w:rPr>
                <w:rFonts w:ascii="Times New Roman" w:hAnsi="Times New Roman"/>
                <w:b w:val="1"/>
              </w:rPr>
            </w:pPr>
            <w:r>
              <w:rPr>
                <w:rFonts w:ascii="Times New Roman" w:hAnsi="Times New Roman"/>
              </w:rPr>
              <w:t>20. Проведение анализа отчета о финансовых результатов.</w:t>
            </w:r>
          </w:p>
          <w:p w14:paraId="1E060000">
            <w:pPr>
              <w:rPr>
                <w:rFonts w:ascii="Times New Roman" w:hAnsi="Times New Roman"/>
                <w:b w:val="1"/>
                <w:sz w:val="24"/>
              </w:rPr>
            </w:pPr>
            <w:r>
              <w:rPr>
                <w:rFonts w:ascii="Times New Roman" w:hAnsi="Times New Roman"/>
              </w:rPr>
              <w:t>Оформить и защитить Отчет по производственной практике</w:t>
            </w:r>
          </w:p>
        </w:tc>
      </w:tr>
      <w:tr>
        <w:tc>
          <w:tcPr>
            <w:tcW w:type="dxa" w:w="9493"/>
            <w:gridSpan w:val="2"/>
          </w:tcPr>
          <w:p w14:paraId="1F060000">
            <w:pPr>
              <w:rPr>
                <w:rFonts w:ascii="Times New Roman" w:hAnsi="Times New Roman"/>
                <w:b w:val="1"/>
                <w:sz w:val="24"/>
              </w:rPr>
            </w:pPr>
            <w:r>
              <w:rPr>
                <w:rFonts w:ascii="Times New Roman" w:hAnsi="Times New Roman"/>
                <w:b w:val="1"/>
                <w:sz w:val="24"/>
              </w:rPr>
              <w:t>Рекомендуемая форма промежуточной аттестации – зачет/экзамен</w:t>
            </w:r>
          </w:p>
        </w:tc>
      </w:tr>
      <w:tr>
        <w:tc>
          <w:tcPr>
            <w:tcW w:type="dxa" w:w="9493"/>
            <w:gridSpan w:val="2"/>
          </w:tcPr>
          <w:p w14:paraId="20060000">
            <w:pPr>
              <w:rPr>
                <w:rFonts w:ascii="Times New Roman" w:hAnsi="Times New Roman"/>
                <w:b w:val="1"/>
                <w:sz w:val="24"/>
              </w:rPr>
            </w:pPr>
            <w:r>
              <w:rPr>
                <w:rFonts w:ascii="Times New Roman" w:hAnsi="Times New Roman"/>
                <w:b w:val="1"/>
                <w:sz w:val="24"/>
              </w:rPr>
              <w:t>Всего</w:t>
            </w:r>
            <w:r>
              <w:rPr>
                <w:rFonts w:ascii="Times New Roman" w:hAnsi="Times New Roman"/>
                <w:b w:val="1"/>
                <w:sz w:val="24"/>
              </w:rPr>
              <w:t>: 280</w:t>
            </w:r>
            <w:r>
              <w:rPr>
                <w:rFonts w:ascii="Times New Roman" w:hAnsi="Times New Roman"/>
                <w:b w:val="1"/>
                <w:sz w:val="24"/>
              </w:rPr>
              <w:t xml:space="preserve"> ч.</w:t>
            </w:r>
          </w:p>
        </w:tc>
      </w:tr>
    </w:tbl>
    <w:p w14:paraId="21060000">
      <w:pPr>
        <w:pStyle w:val="Style_5"/>
        <w:rPr>
          <w:rFonts w:ascii="Times New Roman" w:hAnsi="Times New Roman"/>
        </w:rPr>
      </w:pPr>
    </w:p>
    <w:p w14:paraId="22060000">
      <w:bookmarkStart w:id="42" w:name="__RefHeading___20"/>
      <w:bookmarkEnd w:id="42"/>
      <w:bookmarkStart w:id="43" w:name="__RefHeading___43"/>
      <w:bookmarkEnd w:id="43"/>
      <w:pPr>
        <w:pStyle w:val="Style_5"/>
        <w:rPr>
          <w:rFonts w:ascii="Times New Roman" w:hAnsi="Times New Roman"/>
        </w:rPr>
      </w:pPr>
      <w:r>
        <w:rPr>
          <w:rFonts w:ascii="Times New Roman" w:hAnsi="Times New Roman"/>
        </w:rPr>
        <w:t xml:space="preserve">3. </w:t>
      </w:r>
      <w:r>
        <w:rPr>
          <w:rFonts w:ascii="Times New Roman" w:hAnsi="Times New Roman"/>
        </w:rPr>
        <w:t>Условия реализации профессионального модуля</w:t>
      </w:r>
    </w:p>
    <w:p w14:paraId="23060000">
      <w:bookmarkStart w:id="44" w:name="__RefHeading___21"/>
      <w:bookmarkEnd w:id="44"/>
      <w:bookmarkStart w:id="45" w:name="__RefHeading___44"/>
      <w:bookmarkEnd w:id="45"/>
      <w:pPr>
        <w:pStyle w:val="Style_7"/>
        <w:rPr>
          <w:rFonts w:ascii="Times New Roman" w:hAnsi="Times New Roman"/>
        </w:rPr>
      </w:pPr>
      <w:r>
        <w:rPr>
          <w:rFonts w:ascii="Times New Roman" w:hAnsi="Times New Roman"/>
        </w:rPr>
        <w:t>3.1. Материально-техническое обеспечение</w:t>
      </w:r>
    </w:p>
    <w:p w14:paraId="24060000">
      <w:pPr>
        <w:ind w:firstLine="709" w:left="0"/>
        <w:jc w:val="both"/>
        <w:rPr>
          <w:rFonts w:ascii="Times New Roman" w:hAnsi="Times New Roman"/>
          <w:sz w:val="24"/>
        </w:rPr>
      </w:pPr>
      <w:r>
        <w:rPr>
          <w:rFonts w:ascii="Times New Roman" w:hAnsi="Times New Roman"/>
          <w:sz w:val="24"/>
        </w:rPr>
        <w:t>Кабинет</w:t>
      </w:r>
      <w:r>
        <w:rPr>
          <w:rFonts w:ascii="Times New Roman" w:hAnsi="Times New Roman"/>
          <w:i w:val="1"/>
          <w:sz w:val="24"/>
        </w:rPr>
        <w:t xml:space="preserve"> </w:t>
      </w:r>
      <w:r>
        <w:rPr>
          <w:rFonts w:ascii="Times New Roman" w:hAnsi="Times New Roman"/>
          <w:sz w:val="24"/>
        </w:rPr>
        <w:t>«</w:t>
      </w:r>
      <w:r>
        <w:rPr>
          <w:rFonts w:ascii="Times New Roman" w:hAnsi="Times New Roman"/>
          <w:color w:themeColor="text1" w:val="000000"/>
          <w:sz w:val="24"/>
        </w:rPr>
        <w:t>Общепрофессиональных дисциплин и МДК»</w:t>
      </w:r>
      <w:r>
        <w:rPr>
          <w:rFonts w:ascii="Times New Roman" w:hAnsi="Times New Roman"/>
          <w:i w:val="1"/>
          <w:sz w:val="24"/>
        </w:rPr>
        <w:t xml:space="preserve">, </w:t>
      </w:r>
      <w:r>
        <w:rPr>
          <w:rFonts w:ascii="Times New Roman" w:hAnsi="Times New Roman"/>
          <w:sz w:val="24"/>
        </w:rPr>
        <w:t xml:space="preserve">оснащенный </w:t>
      </w:r>
      <w:r>
        <w:rPr>
          <w:rFonts w:ascii="Times New Roman" w:hAnsi="Times New Roman"/>
          <w:sz w:val="24"/>
        </w:rPr>
        <w:t>в соответствии с приложением 3 ПОП</w:t>
      </w:r>
      <w:r>
        <w:rPr>
          <w:rFonts w:ascii="Times New Roman" w:hAnsi="Times New Roman"/>
          <w:sz w:val="24"/>
        </w:rPr>
        <w:t>-П</w:t>
      </w:r>
      <w:r>
        <w:rPr>
          <w:rFonts w:ascii="Times New Roman" w:hAnsi="Times New Roman"/>
          <w:sz w:val="24"/>
        </w:rPr>
        <w:t xml:space="preserve">. </w:t>
      </w:r>
    </w:p>
    <w:p w14:paraId="25060000">
      <w:pPr>
        <w:ind w:firstLine="709" w:left="0"/>
        <w:jc w:val="both"/>
        <w:rPr>
          <w:rFonts w:ascii="Times New Roman" w:hAnsi="Times New Roman"/>
          <w:i w:val="1"/>
          <w:sz w:val="24"/>
        </w:rPr>
      </w:pPr>
      <w:r>
        <w:rPr>
          <w:rFonts w:ascii="Times New Roman" w:hAnsi="Times New Roman"/>
          <w:sz w:val="24"/>
        </w:rPr>
        <w:t xml:space="preserve">Лаборатория «Цифровых технологий в бухгалтерском учете», оснащенная в соответствии с </w:t>
      </w:r>
      <w:r>
        <w:rPr>
          <w:rFonts w:ascii="Times New Roman" w:hAnsi="Times New Roman"/>
          <w:sz w:val="24"/>
        </w:rPr>
        <w:t>приложением 3 ПОП</w:t>
      </w:r>
      <w:r>
        <w:rPr>
          <w:rFonts w:ascii="Times New Roman" w:hAnsi="Times New Roman"/>
          <w:sz w:val="24"/>
        </w:rPr>
        <w:t>-П</w:t>
      </w:r>
      <w:r>
        <w:rPr>
          <w:rFonts w:ascii="Times New Roman" w:hAnsi="Times New Roman"/>
          <w:i w:val="1"/>
          <w:sz w:val="24"/>
        </w:rPr>
        <w:t>.</w:t>
      </w:r>
    </w:p>
    <w:p w14:paraId="26060000">
      <w:pPr>
        <w:ind w:firstLine="709" w:left="0"/>
        <w:jc w:val="both"/>
        <w:rPr>
          <w:rFonts w:ascii="Times New Roman" w:hAnsi="Times New Roman"/>
          <w:i w:val="1"/>
          <w:sz w:val="24"/>
        </w:rPr>
      </w:pPr>
      <w:r>
        <w:rPr>
          <w:rFonts w:ascii="Times New Roman" w:hAnsi="Times New Roman"/>
          <w:sz w:val="24"/>
        </w:rPr>
        <w:t>Мастерская «</w:t>
      </w:r>
      <w:r>
        <w:rPr>
          <w:rFonts w:ascii="Times New Roman" w:hAnsi="Times New Roman"/>
          <w:sz w:val="24"/>
        </w:rPr>
        <w:t>Учебная бухгалтерия</w:t>
      </w:r>
      <w:r>
        <w:rPr>
          <w:rFonts w:ascii="Times New Roman" w:hAnsi="Times New Roman"/>
          <w:sz w:val="24"/>
        </w:rPr>
        <w:t>»</w:t>
      </w:r>
      <w:r>
        <w:rPr>
          <w:rFonts w:ascii="Times New Roman" w:hAnsi="Times New Roman"/>
          <w:i w:val="1"/>
          <w:sz w:val="24"/>
        </w:rPr>
        <w:t xml:space="preserve">, </w:t>
      </w:r>
      <w:r>
        <w:rPr>
          <w:rFonts w:ascii="Times New Roman" w:hAnsi="Times New Roman"/>
          <w:sz w:val="24"/>
        </w:rPr>
        <w:t xml:space="preserve">оснащенная в соответствии с </w:t>
      </w:r>
      <w:r>
        <w:rPr>
          <w:rFonts w:ascii="Times New Roman" w:hAnsi="Times New Roman"/>
          <w:sz w:val="24"/>
        </w:rPr>
        <w:t>приложением 3 ПОП</w:t>
      </w:r>
      <w:r>
        <w:rPr>
          <w:rFonts w:ascii="Times New Roman" w:hAnsi="Times New Roman"/>
          <w:sz w:val="24"/>
        </w:rPr>
        <w:t>-П</w:t>
      </w:r>
      <w:r>
        <w:rPr>
          <w:rFonts w:ascii="Times New Roman" w:hAnsi="Times New Roman"/>
          <w:i w:val="1"/>
          <w:sz w:val="24"/>
        </w:rPr>
        <w:t>.</w:t>
      </w:r>
    </w:p>
    <w:p w14:paraId="27060000">
      <w:pPr>
        <w:pStyle w:val="Style_7"/>
        <w:rPr>
          <w:rFonts w:ascii="Times New Roman" w:hAnsi="Times New Roman"/>
        </w:rPr>
      </w:pPr>
    </w:p>
    <w:p w14:paraId="28060000">
      <w:bookmarkStart w:id="46" w:name="__RefHeading___22"/>
      <w:bookmarkEnd w:id="46"/>
      <w:bookmarkStart w:id="47" w:name="__RefHeading___45"/>
      <w:bookmarkEnd w:id="47"/>
      <w:pPr>
        <w:pStyle w:val="Style_7"/>
        <w:rPr>
          <w:rFonts w:ascii="Times New Roman" w:hAnsi="Times New Roman"/>
        </w:rPr>
      </w:pPr>
      <w:r>
        <w:rPr>
          <w:rFonts w:ascii="Times New Roman" w:hAnsi="Times New Roman"/>
        </w:rPr>
        <w:t>3.2. Учебно-методическое обеспечение</w:t>
      </w:r>
    </w:p>
    <w:p w14:paraId="29060000">
      <w:pPr>
        <w:pStyle w:val="Style_11"/>
        <w:spacing w:line="276" w:lineRule="auto"/>
        <w:ind w:firstLine="709" w:left="0"/>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w:t>
      </w:r>
      <w:r>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060000">
      <w:pPr>
        <w:pStyle w:val="Style_11"/>
        <w:spacing w:line="276" w:lineRule="auto"/>
        <w:ind w:firstLine="709" w:left="0"/>
        <w:jc w:val="both"/>
        <w:rPr>
          <w:rFonts w:ascii="Times New Roman" w:hAnsi="Times New Roman"/>
          <w:sz w:val="24"/>
        </w:rPr>
      </w:pPr>
    </w:p>
    <w:p w14:paraId="2B060000">
      <w:pPr>
        <w:pStyle w:val="Style_11"/>
        <w:spacing w:line="276" w:lineRule="auto"/>
        <w:ind w:firstLine="709" w:left="0"/>
        <w:rPr>
          <w:rFonts w:ascii="Times New Roman" w:hAnsi="Times New Roman"/>
          <w:b w:val="1"/>
          <w:sz w:val="24"/>
        </w:rPr>
      </w:pPr>
      <w:r>
        <w:rPr>
          <w:rFonts w:ascii="Times New Roman" w:hAnsi="Times New Roman"/>
          <w:b w:val="1"/>
          <w:sz w:val="24"/>
        </w:rPr>
        <w:t xml:space="preserve">3.2.1. Основные печатные и/или </w:t>
      </w:r>
      <w:r>
        <w:rPr>
          <w:rFonts w:ascii="Times New Roman" w:hAnsi="Times New Roman"/>
          <w:b w:val="1"/>
          <w:sz w:val="24"/>
        </w:rPr>
        <w:t xml:space="preserve">электронные </w:t>
      </w:r>
      <w:r>
        <w:rPr>
          <w:rFonts w:ascii="Times New Roman" w:hAnsi="Times New Roman"/>
          <w:b w:val="1"/>
          <w:sz w:val="24"/>
        </w:rPr>
        <w:t>издания</w:t>
      </w:r>
    </w:p>
    <w:p w14:paraId="2C060000">
      <w:pPr>
        <w:ind w:firstLine="709" w:left="0"/>
        <w:contextualSpacing w:val="1"/>
        <w:jc w:val="both"/>
        <w:rPr>
          <w:rFonts w:ascii="Times New Roman" w:hAnsi="Times New Roman"/>
          <w:sz w:val="24"/>
        </w:rPr>
      </w:pPr>
      <w:r>
        <w:rPr>
          <w:rFonts w:ascii="Times New Roman" w:hAnsi="Times New Roman"/>
          <w:sz w:val="24"/>
        </w:rPr>
        <w:t xml:space="preserve">1. Качан, Н. А. Бухгалтерская технология проведения и оформления инвентаризации : учебное пособие / Н.А. Качан. — 2-е изд. — Москва : ИНФРА-М, 2023. — 137 с. — (Среднее профессиональное образование). — DOI 10.12737/textbook_5c5d740161f853.67387859. - ISBN </w:t>
      </w:r>
      <w:r>
        <w:rPr>
          <w:rFonts w:ascii="Times New Roman" w:hAnsi="Times New Roman"/>
          <w:sz w:val="24"/>
        </w:rPr>
        <w:t>978-5-16-015096-3. - Текст : электронный. - URL: https://znanium.com/catalog/product/1901905 (дата обращения: 02.08.2023). – Режим доступа: по подписке.</w:t>
      </w:r>
    </w:p>
    <w:p w14:paraId="2D060000">
      <w:pPr>
        <w:ind w:firstLine="709" w:left="0"/>
        <w:contextualSpacing w:val="1"/>
        <w:jc w:val="both"/>
        <w:rPr>
          <w:rFonts w:ascii="Times New Roman" w:hAnsi="Times New Roman"/>
          <w:sz w:val="24"/>
        </w:rPr>
      </w:pPr>
      <w:r>
        <w:rPr>
          <w:rFonts w:ascii="Times New Roman" w:hAnsi="Times New Roman"/>
          <w:sz w:val="24"/>
        </w:rPr>
        <w:t>2. Акатьева, М. Д. Бухгалтерская технология проведения и оформления инвентаризации : учебник / М.Д. Акатьева. — Москва : ИНФРА-М, 2023. — 208 с. — (Среднее профессиональное образование). - ISBN 978-5-16-015454-1. - Текст : электронный. - URL: https://znanium.com/catalog/product/1916128 (дата обращения: 02.08.2023). – Режим доступа: по подписке.</w:t>
      </w:r>
    </w:p>
    <w:p w14:paraId="2E060000">
      <w:pPr>
        <w:ind w:firstLine="709" w:left="0"/>
        <w:contextualSpacing w:val="1"/>
        <w:jc w:val="both"/>
        <w:rPr>
          <w:rFonts w:ascii="Times New Roman" w:hAnsi="Times New Roman"/>
          <w:sz w:val="24"/>
        </w:rPr>
      </w:pPr>
      <w:r>
        <w:rPr>
          <w:rFonts w:ascii="Times New Roman" w:hAnsi="Times New Roman"/>
          <w:sz w:val="24"/>
        </w:rPr>
        <w:t xml:space="preserve">3. </w:t>
      </w:r>
      <w:r>
        <w:rPr>
          <w:rFonts w:ascii="Times New Roman" w:hAnsi="Times New Roman"/>
          <w:sz w:val="24"/>
        </w:rPr>
        <w:t>Кеворкова</w:t>
      </w:r>
      <w:r>
        <w:rPr>
          <w:rFonts w:ascii="Times New Roman" w:hAnsi="Times New Roman"/>
          <w:sz w:val="24"/>
        </w:rPr>
        <w:t xml:space="preserve">, Ж. А., Бухгалтерская технология проведения и оформления инвентаризации : учебник / Ж. А. </w:t>
      </w:r>
      <w:r>
        <w:rPr>
          <w:rFonts w:ascii="Times New Roman" w:hAnsi="Times New Roman"/>
          <w:sz w:val="24"/>
        </w:rPr>
        <w:t>Кеворкова</w:t>
      </w:r>
      <w:r>
        <w:rPr>
          <w:rFonts w:ascii="Times New Roman" w:hAnsi="Times New Roman"/>
          <w:sz w:val="24"/>
        </w:rPr>
        <w:t xml:space="preserve">, Л. А. Мельникова, Е. Н. Домбровская. — Москва : </w:t>
      </w:r>
      <w:r>
        <w:rPr>
          <w:rFonts w:ascii="Times New Roman" w:hAnsi="Times New Roman"/>
          <w:sz w:val="24"/>
        </w:rPr>
        <w:t>КноРус</w:t>
      </w:r>
      <w:r>
        <w:rPr>
          <w:rFonts w:ascii="Times New Roman" w:hAnsi="Times New Roman"/>
          <w:sz w:val="24"/>
        </w:rPr>
        <w:t>, 2023. — 182 с. — ISBN 978-5-406-11753-8. — URL: https://book.ru/book/950261 (дата обращения: 02.08.2023). — Текст : электронный.</w:t>
      </w:r>
    </w:p>
    <w:p w14:paraId="2F060000">
      <w:pPr>
        <w:ind w:firstLine="709" w:left="0"/>
        <w:contextualSpacing w:val="1"/>
        <w:jc w:val="both"/>
        <w:rPr>
          <w:rFonts w:ascii="Times New Roman" w:hAnsi="Times New Roman"/>
          <w:sz w:val="24"/>
        </w:rPr>
      </w:pPr>
      <w:r>
        <w:rPr>
          <w:rFonts w:ascii="Times New Roman" w:hAnsi="Times New Roman"/>
          <w:sz w:val="24"/>
          <w:highlight w:val="white"/>
        </w:rPr>
        <w:t xml:space="preserve">4. </w:t>
      </w:r>
      <w:r>
        <w:rPr>
          <w:rFonts w:ascii="Times New Roman" w:hAnsi="Times New Roman"/>
          <w:sz w:val="24"/>
        </w:rPr>
        <w:t xml:space="preserve">Сорокина, Е.М. Бухгалтерская (финансовая) отчётность: учебное пособие для среднего профессионального образования/ Е.М. Сорокина. – Москва: </w:t>
      </w:r>
      <w:r>
        <w:rPr>
          <w:rFonts w:ascii="Times New Roman" w:hAnsi="Times New Roman"/>
          <w:sz w:val="24"/>
        </w:rPr>
        <w:t>Юрайт</w:t>
      </w:r>
      <w:r>
        <w:rPr>
          <w:rFonts w:ascii="Times New Roman" w:hAnsi="Times New Roman"/>
          <w:sz w:val="24"/>
        </w:rPr>
        <w:t>, 2021- –120с.–(Профессиональное образование)–</w:t>
      </w:r>
      <w:r>
        <w:rPr>
          <w:rFonts w:ascii="Times New Roman" w:hAnsi="Times New Roman"/>
          <w:sz w:val="24"/>
        </w:rPr>
        <w:t>URL</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HYPERLINK "https://urait.ru/viewer/buhgalterskaya-finansovaya-otchetnost-486408"</w:instrText>
      </w:r>
      <w:r>
        <w:rPr>
          <w:rFonts w:ascii="Times New Roman" w:hAnsi="Times New Roman"/>
          <w:sz w:val="24"/>
        </w:rPr>
        <w:fldChar w:fldCharType="separate"/>
      </w:r>
      <w:r>
        <w:rPr>
          <w:rFonts w:ascii="Times New Roman" w:hAnsi="Times New Roman"/>
          <w:sz w:val="24"/>
        </w:rPr>
        <w:t>https://urait.ru/viewer/buhgalterskaya-finansovaya-otchetnost-486408</w:t>
      </w:r>
      <w:r>
        <w:rPr>
          <w:rFonts w:ascii="Times New Roman" w:hAnsi="Times New Roman"/>
          <w:sz w:val="24"/>
        </w:rPr>
        <w:fldChar w:fldCharType="end"/>
      </w:r>
      <w:r>
        <w:rPr>
          <w:rFonts w:ascii="Times New Roman" w:hAnsi="Times New Roman"/>
          <w:sz w:val="24"/>
        </w:rPr>
        <w:t>. - Режим доступа: для зарегистрированных пользователей. - Текст: электронный.</w:t>
      </w:r>
    </w:p>
    <w:p w14:paraId="30060000">
      <w:pPr>
        <w:ind w:firstLine="709" w:left="0"/>
        <w:contextualSpacing w:val="1"/>
        <w:jc w:val="both"/>
        <w:rPr>
          <w:rFonts w:ascii="Times New Roman" w:hAnsi="Times New Roman"/>
          <w:sz w:val="24"/>
        </w:rPr>
      </w:pPr>
      <w:r>
        <w:rPr>
          <w:rFonts w:ascii="Times New Roman" w:hAnsi="Times New Roman"/>
          <w:sz w:val="24"/>
        </w:rPr>
        <w:t xml:space="preserve">5. Иванова, Е. А., Составление и использование бухгалтерской отчетности : учебное пособие / Е. А. Иванова, М. Ю. Гинзбург. — Москва : </w:t>
      </w:r>
      <w:r>
        <w:rPr>
          <w:rFonts w:ascii="Times New Roman" w:hAnsi="Times New Roman"/>
          <w:sz w:val="24"/>
        </w:rPr>
        <w:t>КноРус</w:t>
      </w:r>
      <w:r>
        <w:rPr>
          <w:rFonts w:ascii="Times New Roman" w:hAnsi="Times New Roman"/>
          <w:sz w:val="24"/>
        </w:rPr>
        <w:t>, 2023. — 259 с. — ISBN 978-5-406-11388-2. — URL: https://book.ru/book/948874 (дата обращения: 02.08.2023). — Текст : электронный.</w:t>
      </w:r>
    </w:p>
    <w:p w14:paraId="31060000">
      <w:pPr>
        <w:ind w:firstLine="709" w:left="0"/>
        <w:contextualSpacing w:val="1"/>
        <w:jc w:val="both"/>
        <w:rPr>
          <w:rFonts w:ascii="Times New Roman" w:hAnsi="Times New Roman"/>
          <w:sz w:val="24"/>
        </w:rPr>
      </w:pPr>
      <w:r>
        <w:rPr>
          <w:rFonts w:ascii="Times New Roman" w:hAnsi="Times New Roman"/>
          <w:sz w:val="24"/>
        </w:rPr>
        <w:t xml:space="preserve">6. Иванова, Н. В., Технология составления бухгалтерской отчетности : учебник / Н. В. Иванова, К. В. Иванов. — Москва : </w:t>
      </w:r>
      <w:r>
        <w:rPr>
          <w:rFonts w:ascii="Times New Roman" w:hAnsi="Times New Roman"/>
          <w:sz w:val="24"/>
        </w:rPr>
        <w:t>КноРус</w:t>
      </w:r>
      <w:r>
        <w:rPr>
          <w:rFonts w:ascii="Times New Roman" w:hAnsi="Times New Roman"/>
          <w:sz w:val="24"/>
        </w:rPr>
        <w:t>, 2024. — 201 с. — ISBN 978-5-406-12018-7. — URL: https://book.ru/book/950246 (дата обращения: 30.09.2023). — Текст : электронный.</w:t>
      </w:r>
    </w:p>
    <w:p w14:paraId="32060000">
      <w:pPr>
        <w:ind w:firstLine="709" w:left="0"/>
        <w:contextualSpacing w:val="1"/>
        <w:jc w:val="both"/>
        <w:rPr>
          <w:rFonts w:ascii="Times New Roman" w:hAnsi="Times New Roman"/>
          <w:sz w:val="24"/>
        </w:rPr>
      </w:pPr>
      <w:r>
        <w:rPr>
          <w:rFonts w:ascii="Times New Roman" w:hAnsi="Times New Roman"/>
          <w:sz w:val="24"/>
        </w:rPr>
        <w:t xml:space="preserve">7. </w:t>
      </w:r>
      <w:r>
        <w:rPr>
          <w:rFonts w:ascii="Times New Roman" w:hAnsi="Times New Roman"/>
          <w:sz w:val="24"/>
        </w:rPr>
        <w:t>Брыкова</w:t>
      </w:r>
      <w:r>
        <w:rPr>
          <w:rFonts w:ascii="Times New Roman" w:hAnsi="Times New Roman"/>
          <w:sz w:val="24"/>
        </w:rPr>
        <w:t xml:space="preserve">, Н. В., Составление и использование бухгалтерской отчетности : учебник / Н. В. </w:t>
      </w:r>
      <w:r>
        <w:rPr>
          <w:rFonts w:ascii="Times New Roman" w:hAnsi="Times New Roman"/>
          <w:sz w:val="24"/>
        </w:rPr>
        <w:t>Брыкова</w:t>
      </w:r>
      <w:r>
        <w:rPr>
          <w:rFonts w:ascii="Times New Roman" w:hAnsi="Times New Roman"/>
          <w:sz w:val="24"/>
        </w:rPr>
        <w:t xml:space="preserve">. — Москва : </w:t>
      </w:r>
      <w:r>
        <w:rPr>
          <w:rFonts w:ascii="Times New Roman" w:hAnsi="Times New Roman"/>
          <w:sz w:val="24"/>
        </w:rPr>
        <w:t>КноРус</w:t>
      </w:r>
      <w:r>
        <w:rPr>
          <w:rFonts w:ascii="Times New Roman" w:hAnsi="Times New Roman"/>
          <w:sz w:val="24"/>
        </w:rPr>
        <w:t>, 2021. — 266 с. — ISBN 978-5-406-08107-5. — URL: https://book.ru/book/939163 (дата обращения: 02.08.2023). — Текст : электронный.</w:t>
      </w:r>
    </w:p>
    <w:p w14:paraId="33060000">
      <w:pPr>
        <w:ind w:firstLine="709" w:left="0"/>
        <w:contextualSpacing w:val="1"/>
        <w:jc w:val="both"/>
        <w:rPr>
          <w:rFonts w:ascii="Times New Roman" w:hAnsi="Times New Roman"/>
          <w:sz w:val="24"/>
        </w:rPr>
      </w:pPr>
      <w:r>
        <w:rPr>
          <w:rFonts w:ascii="Times New Roman" w:hAnsi="Times New Roman"/>
          <w:sz w:val="24"/>
        </w:rPr>
        <w:t xml:space="preserve">8. </w:t>
      </w:r>
      <w:r>
        <w:rPr>
          <w:rFonts w:ascii="Times New Roman" w:hAnsi="Times New Roman"/>
          <w:sz w:val="24"/>
        </w:rPr>
        <w:t>Грачева, Н. А. Основы анализа бухгалтерской отчетности : учебное пособие / Н.А. Грачева, О.А. Полищук ; под общ. ред. Н.А. Грачевой. — Москва : ИНФРА-М, 2023. — 220 с. — (Среднее профессиональное образование). — DOI 10.12737/1932261. - ISBN 978-5-16-018226-1. - Текст : электронный. - URL: https://znanium.com/catalog/product/1932261 (дата обращения: 02.08.2023). – Режим доступа: по подписке.</w:t>
      </w:r>
    </w:p>
    <w:p w14:paraId="34060000">
      <w:pPr>
        <w:ind w:firstLine="709" w:left="0"/>
        <w:contextualSpacing w:val="1"/>
        <w:jc w:val="both"/>
        <w:rPr>
          <w:rFonts w:ascii="Times New Roman" w:hAnsi="Times New Roman"/>
          <w:sz w:val="24"/>
        </w:rPr>
      </w:pPr>
      <w:r>
        <w:rPr>
          <w:rFonts w:ascii="Times New Roman" w:hAnsi="Times New Roman"/>
          <w:sz w:val="24"/>
        </w:rPr>
        <w:t xml:space="preserve">8. Новикова, Н. Е., Составление и использование бухгалтерской отчетности : учебник / Н. Е. Новикова, И. В. Осипова, Г. Ф. </w:t>
      </w:r>
      <w:r>
        <w:rPr>
          <w:rFonts w:ascii="Times New Roman" w:hAnsi="Times New Roman"/>
          <w:sz w:val="24"/>
        </w:rPr>
        <w:t>Чернецкая</w:t>
      </w:r>
      <w:r>
        <w:rPr>
          <w:rFonts w:ascii="Times New Roman" w:hAnsi="Times New Roman"/>
          <w:sz w:val="24"/>
        </w:rPr>
        <w:t xml:space="preserve">. — Москва : </w:t>
      </w:r>
      <w:r>
        <w:rPr>
          <w:rFonts w:ascii="Times New Roman" w:hAnsi="Times New Roman"/>
          <w:sz w:val="24"/>
        </w:rPr>
        <w:t>КноРус</w:t>
      </w:r>
      <w:r>
        <w:rPr>
          <w:rFonts w:ascii="Times New Roman" w:hAnsi="Times New Roman"/>
          <w:sz w:val="24"/>
        </w:rPr>
        <w:t>, 2023. — 262 с. — ISBN 978-5-406-10884-0. — URL: https://book.ru/book/947629 (дата обращения: 02.08.2023). — Текст : электронный.</w:t>
      </w:r>
    </w:p>
    <w:p w14:paraId="35060000">
      <w:pPr>
        <w:ind w:firstLine="709" w:left="0"/>
        <w:contextualSpacing w:val="1"/>
        <w:jc w:val="both"/>
        <w:rPr>
          <w:rFonts w:ascii="Times New Roman" w:hAnsi="Times New Roman"/>
          <w:sz w:val="24"/>
        </w:rPr>
      </w:pPr>
      <w:r>
        <w:rPr>
          <w:rFonts w:ascii="Times New Roman" w:hAnsi="Times New Roman"/>
          <w:sz w:val="24"/>
        </w:rPr>
        <w:t xml:space="preserve">9. Основы анализа бухгалтерской отчетности : учебник / Ю.И. </w:t>
      </w:r>
      <w:r>
        <w:rPr>
          <w:rFonts w:ascii="Times New Roman" w:hAnsi="Times New Roman"/>
          <w:sz w:val="24"/>
        </w:rPr>
        <w:t>Сигидов</w:t>
      </w:r>
      <w:r>
        <w:rPr>
          <w:rFonts w:ascii="Times New Roman" w:hAnsi="Times New Roman"/>
          <w:sz w:val="24"/>
        </w:rPr>
        <w:t xml:space="preserve">, Н.Ю. Мороз, Е.А. </w:t>
      </w:r>
      <w:r>
        <w:rPr>
          <w:rFonts w:ascii="Times New Roman" w:hAnsi="Times New Roman"/>
          <w:sz w:val="24"/>
        </w:rPr>
        <w:t>Оксанич</w:t>
      </w:r>
      <w:r>
        <w:rPr>
          <w:rFonts w:ascii="Times New Roman" w:hAnsi="Times New Roman"/>
          <w:sz w:val="24"/>
        </w:rPr>
        <w:t xml:space="preserve">, Г.Н. </w:t>
      </w:r>
      <w:r>
        <w:rPr>
          <w:rFonts w:ascii="Times New Roman" w:hAnsi="Times New Roman"/>
          <w:sz w:val="24"/>
        </w:rPr>
        <w:t>Ясменко</w:t>
      </w:r>
      <w:r>
        <w:rPr>
          <w:rFonts w:ascii="Times New Roman" w:hAnsi="Times New Roman"/>
          <w:sz w:val="24"/>
        </w:rPr>
        <w:t xml:space="preserve"> ; под ред. д-ра экон. наук Ю.И. </w:t>
      </w:r>
      <w:r>
        <w:rPr>
          <w:rFonts w:ascii="Times New Roman" w:hAnsi="Times New Roman"/>
          <w:sz w:val="24"/>
        </w:rPr>
        <w:t>Сигидова</w:t>
      </w:r>
      <w:r>
        <w:rPr>
          <w:rFonts w:ascii="Times New Roman" w:hAnsi="Times New Roman"/>
          <w:sz w:val="24"/>
        </w:rPr>
        <w:t>. — Москва : ИНФРА-М, 2023. — 265 с. — (Среднее профессиональное образование). — DOI 10.12737/1860498. - ISBN 978-5-16-017534-8. - Текст : электронный. - URL: https://znanium.com/catalog/product/1860498 (дата обращения: 02.08.2023). – Режим доступа: по подписке.</w:t>
      </w:r>
    </w:p>
    <w:p w14:paraId="36060000">
      <w:pPr>
        <w:ind w:firstLine="709" w:left="0"/>
        <w:contextualSpacing w:val="1"/>
        <w:jc w:val="both"/>
        <w:rPr>
          <w:rFonts w:ascii="Times New Roman" w:hAnsi="Times New Roman"/>
          <w:sz w:val="24"/>
        </w:rPr>
      </w:pPr>
      <w:r>
        <w:rPr>
          <w:rFonts w:ascii="Times New Roman" w:hAnsi="Times New Roman"/>
          <w:sz w:val="24"/>
        </w:rPr>
        <w:t xml:space="preserve">10. Борисова, Н. М. Финансовый контроль деятельности экономического субъекта : учебное пособие для СПО / Н. М. Борисова, Г. В. </w:t>
      </w:r>
      <w:r>
        <w:rPr>
          <w:rFonts w:ascii="Times New Roman" w:hAnsi="Times New Roman"/>
          <w:sz w:val="24"/>
        </w:rPr>
        <w:t>Цветова</w:t>
      </w:r>
      <w:r>
        <w:rPr>
          <w:rFonts w:ascii="Times New Roman" w:hAnsi="Times New Roman"/>
          <w:sz w:val="24"/>
        </w:rPr>
        <w:t xml:space="preserve">. — Саратов, Москва : Профобразование, Ай Пи Ар Медиа, 2020. — 114 c. — ISBN 978-5-4488-0905-7, 978-5-4497-0746-8. — Текст : электронный // Электронный ресурс цифровой образовательной среды СПО </w:t>
      </w:r>
      <w:r>
        <w:rPr>
          <w:rFonts w:ascii="Times New Roman" w:hAnsi="Times New Roman"/>
          <w:sz w:val="24"/>
        </w:rPr>
        <w:t>PROFобразование</w:t>
      </w:r>
      <w:r>
        <w:rPr>
          <w:rFonts w:ascii="Times New Roman" w:hAnsi="Times New Roman"/>
          <w:sz w:val="24"/>
        </w:rPr>
        <w:t xml:space="preserve"> : [сайт]. — URL: </w:t>
      </w:r>
      <w:r>
        <w:rPr>
          <w:rStyle w:val="Style_14_ch"/>
          <w:rFonts w:ascii="Times New Roman" w:hAnsi="Times New Roman"/>
          <w:sz w:val="24"/>
        </w:rPr>
        <w:fldChar w:fldCharType="begin"/>
      </w:r>
      <w:r>
        <w:rPr>
          <w:rStyle w:val="Style_14_ch"/>
          <w:rFonts w:ascii="Times New Roman" w:hAnsi="Times New Roman"/>
          <w:sz w:val="24"/>
        </w:rPr>
        <w:instrText>HYPERLINK "https://profspo.ru/books/98667"</w:instrText>
      </w:r>
      <w:r>
        <w:rPr>
          <w:rStyle w:val="Style_14_ch"/>
          <w:rFonts w:ascii="Times New Roman" w:hAnsi="Times New Roman"/>
          <w:sz w:val="24"/>
        </w:rPr>
        <w:fldChar w:fldCharType="separate"/>
      </w:r>
      <w:r>
        <w:rPr>
          <w:rStyle w:val="Style_14_ch"/>
          <w:rFonts w:ascii="Times New Roman" w:hAnsi="Times New Roman"/>
          <w:sz w:val="24"/>
        </w:rPr>
        <w:t>https://profspo.ru/books/98667</w:t>
      </w:r>
      <w:r>
        <w:rPr>
          <w:rStyle w:val="Style_14_ch"/>
          <w:rFonts w:ascii="Times New Roman" w:hAnsi="Times New Roman"/>
          <w:sz w:val="24"/>
        </w:rPr>
        <w:fldChar w:fldCharType="end"/>
      </w:r>
      <w:r>
        <w:rPr>
          <w:rFonts w:ascii="Times New Roman" w:hAnsi="Times New Roman"/>
          <w:sz w:val="24"/>
        </w:rPr>
        <w:t>.</w:t>
      </w:r>
    </w:p>
    <w:p w14:paraId="37060000">
      <w:pPr>
        <w:ind w:firstLine="709" w:left="0"/>
        <w:contextualSpacing w:val="1"/>
        <w:jc w:val="both"/>
        <w:rPr>
          <w:rFonts w:ascii="Times New Roman" w:hAnsi="Times New Roman"/>
          <w:sz w:val="24"/>
        </w:rPr>
      </w:pPr>
      <w:r>
        <w:rPr>
          <w:rFonts w:ascii="Times New Roman" w:hAnsi="Times New Roman"/>
          <w:sz w:val="24"/>
        </w:rPr>
        <w:t>1</w:t>
      </w:r>
      <w:r>
        <w:rPr>
          <w:rFonts w:ascii="Times New Roman" w:hAnsi="Times New Roman"/>
          <w:sz w:val="24"/>
        </w:rPr>
        <w:t>1</w:t>
      </w:r>
      <w:r>
        <w:rPr>
          <w:rFonts w:ascii="Times New Roman" w:hAnsi="Times New Roman"/>
          <w:sz w:val="24"/>
        </w:rPr>
        <w:t xml:space="preserve">. Иванова, Н. В., Основы анализа бухгалтерской отчетности : учебник / Н. В. Иванова, К. В. Иванов. — Москва : </w:t>
      </w:r>
      <w:r>
        <w:rPr>
          <w:rFonts w:ascii="Times New Roman" w:hAnsi="Times New Roman"/>
          <w:sz w:val="24"/>
        </w:rPr>
        <w:t>КноРус</w:t>
      </w:r>
      <w:r>
        <w:rPr>
          <w:rFonts w:ascii="Times New Roman" w:hAnsi="Times New Roman"/>
          <w:sz w:val="24"/>
        </w:rPr>
        <w:t>, 2023. — 203 с. — ISBN 978-5-406-10245-9. — URL: https://book.ru/book/944921 (дата обращения: 02.08.2023). — Текст : электронный.</w:t>
      </w:r>
    </w:p>
    <w:p w14:paraId="38060000">
      <w:pPr>
        <w:ind w:firstLine="709" w:left="0"/>
        <w:contextualSpacing w:val="1"/>
        <w:jc w:val="both"/>
        <w:rPr>
          <w:rFonts w:ascii="Times New Roman" w:hAnsi="Times New Roman"/>
          <w:sz w:val="24"/>
        </w:rPr>
      </w:pPr>
      <w:r>
        <w:rPr>
          <w:rFonts w:ascii="Times New Roman" w:hAnsi="Times New Roman"/>
          <w:sz w:val="24"/>
        </w:rPr>
        <w:t>1</w:t>
      </w:r>
      <w:r>
        <w:rPr>
          <w:rFonts w:ascii="Times New Roman" w:hAnsi="Times New Roman"/>
          <w:sz w:val="24"/>
        </w:rPr>
        <w:t>2</w:t>
      </w:r>
      <w:r>
        <w:rPr>
          <w:rFonts w:ascii="Times New Roman" w:hAnsi="Times New Roman"/>
          <w:sz w:val="24"/>
        </w:rPr>
        <w:t xml:space="preserve">. Басова, М. М., Основы анализа бухгалтерской отчетности : учебник / М. М. Басова, М. Н. Ермакова. — Москва : </w:t>
      </w:r>
      <w:r>
        <w:rPr>
          <w:rFonts w:ascii="Times New Roman" w:hAnsi="Times New Roman"/>
          <w:sz w:val="24"/>
        </w:rPr>
        <w:t>КноРус</w:t>
      </w:r>
      <w:r>
        <w:rPr>
          <w:rFonts w:ascii="Times New Roman" w:hAnsi="Times New Roman"/>
          <w:sz w:val="24"/>
        </w:rPr>
        <w:t>, 2023. — 345 с. — ISBN 978-5-406-11970-9. — URL: https://book.ru/book/950155 (дата обращения: 02.08.2023). — Текст : электронный.</w:t>
      </w:r>
    </w:p>
    <w:p w14:paraId="39060000">
      <w:pPr>
        <w:ind w:firstLine="709" w:left="0"/>
        <w:contextualSpacing w:val="1"/>
        <w:jc w:val="both"/>
        <w:rPr>
          <w:rFonts w:ascii="Times New Roman" w:hAnsi="Times New Roman"/>
          <w:sz w:val="24"/>
        </w:rPr>
      </w:pPr>
      <w:r>
        <w:rPr>
          <w:rFonts w:ascii="Times New Roman" w:hAnsi="Times New Roman"/>
          <w:sz w:val="24"/>
        </w:rPr>
        <w:t>1</w:t>
      </w:r>
      <w:r>
        <w:rPr>
          <w:rFonts w:ascii="Times New Roman" w:hAnsi="Times New Roman"/>
          <w:sz w:val="24"/>
        </w:rPr>
        <w:t xml:space="preserve">3. Основы анализа бухгалтерской отчетности : учебник / Ю.И. </w:t>
      </w:r>
      <w:r>
        <w:rPr>
          <w:rFonts w:ascii="Times New Roman" w:hAnsi="Times New Roman"/>
          <w:sz w:val="24"/>
        </w:rPr>
        <w:t>Сигидов</w:t>
      </w:r>
      <w:r>
        <w:rPr>
          <w:rFonts w:ascii="Times New Roman" w:hAnsi="Times New Roman"/>
          <w:sz w:val="24"/>
        </w:rPr>
        <w:t xml:space="preserve">, Н.Ю. Мороз, Е.А. </w:t>
      </w:r>
      <w:r>
        <w:rPr>
          <w:rFonts w:ascii="Times New Roman" w:hAnsi="Times New Roman"/>
          <w:sz w:val="24"/>
        </w:rPr>
        <w:t>Оксанич</w:t>
      </w:r>
      <w:r>
        <w:rPr>
          <w:rFonts w:ascii="Times New Roman" w:hAnsi="Times New Roman"/>
          <w:sz w:val="24"/>
        </w:rPr>
        <w:t xml:space="preserve">, Г.Н. </w:t>
      </w:r>
      <w:r>
        <w:rPr>
          <w:rFonts w:ascii="Times New Roman" w:hAnsi="Times New Roman"/>
          <w:sz w:val="24"/>
        </w:rPr>
        <w:t>Ясменко</w:t>
      </w:r>
      <w:r>
        <w:rPr>
          <w:rFonts w:ascii="Times New Roman" w:hAnsi="Times New Roman"/>
          <w:sz w:val="24"/>
        </w:rPr>
        <w:t xml:space="preserve"> ; под ред. д-ра экон. наук Ю.И. </w:t>
      </w:r>
      <w:r>
        <w:rPr>
          <w:rFonts w:ascii="Times New Roman" w:hAnsi="Times New Roman"/>
          <w:sz w:val="24"/>
        </w:rPr>
        <w:t>Сигидова</w:t>
      </w:r>
      <w:r>
        <w:rPr>
          <w:rFonts w:ascii="Times New Roman" w:hAnsi="Times New Roman"/>
          <w:sz w:val="24"/>
        </w:rPr>
        <w:t>. — Москва : ИНФРА-М, 2023. — 265 с. — (Среднее профессиональное образование).</w:t>
      </w:r>
    </w:p>
    <w:p w14:paraId="3A060000">
      <w:pPr>
        <w:ind w:firstLine="709" w:left="0"/>
        <w:contextualSpacing w:val="1"/>
        <w:jc w:val="both"/>
        <w:rPr>
          <w:rFonts w:ascii="Times New Roman" w:hAnsi="Times New Roman"/>
          <w:sz w:val="24"/>
        </w:rPr>
      </w:pPr>
      <w:r>
        <w:rPr>
          <w:rFonts w:ascii="Times New Roman" w:hAnsi="Times New Roman"/>
          <w:sz w:val="24"/>
        </w:rPr>
        <w:t>1</w:t>
      </w:r>
      <w:r>
        <w:rPr>
          <w:rFonts w:ascii="Times New Roman" w:hAnsi="Times New Roman"/>
          <w:sz w:val="24"/>
        </w:rPr>
        <w:t xml:space="preserve">4. </w:t>
      </w:r>
      <w:r>
        <w:rPr>
          <w:rFonts w:ascii="Times New Roman" w:hAnsi="Times New Roman"/>
          <w:sz w:val="24"/>
        </w:rPr>
        <w:t>Гомола</w:t>
      </w:r>
      <w:r>
        <w:rPr>
          <w:rFonts w:ascii="Times New Roman" w:hAnsi="Times New Roman"/>
          <w:sz w:val="24"/>
        </w:rPr>
        <w:t xml:space="preserve">, А. И. Составление и использование бухгалтерской отчетности : учебник для СПО / А. И. </w:t>
      </w:r>
      <w:r>
        <w:rPr>
          <w:rFonts w:ascii="Times New Roman" w:hAnsi="Times New Roman"/>
          <w:sz w:val="24"/>
        </w:rPr>
        <w:t>Гомола</w:t>
      </w:r>
      <w:r>
        <w:rPr>
          <w:rFonts w:ascii="Times New Roman" w:hAnsi="Times New Roman"/>
          <w:sz w:val="24"/>
        </w:rPr>
        <w:t>, С. В. Кириллов. — Саратов : Профобразование, Ай Пи Эр Медиа, 2020. — 319 c. — ISBN 978-5-4488-0424-3, 978-5-4486-0626-7.</w:t>
      </w:r>
    </w:p>
    <w:p w14:paraId="3B060000">
      <w:pPr>
        <w:ind w:firstLine="709" w:left="0"/>
        <w:contextualSpacing w:val="1"/>
        <w:jc w:val="both"/>
        <w:rPr>
          <w:rFonts w:ascii="Times New Roman" w:hAnsi="Times New Roman"/>
          <w:sz w:val="24"/>
        </w:rPr>
      </w:pPr>
    </w:p>
    <w:p w14:paraId="3C060000">
      <w:pPr>
        <w:pStyle w:val="Style_11"/>
        <w:spacing w:line="276" w:lineRule="auto"/>
        <w:ind w:firstLine="709" w:left="0"/>
        <w:jc w:val="both"/>
        <w:rPr>
          <w:rFonts w:ascii="Times New Roman" w:hAnsi="Times New Roman"/>
          <w:sz w:val="24"/>
        </w:rPr>
      </w:pPr>
    </w:p>
    <w:p w14:paraId="3D060000">
      <w:pPr>
        <w:spacing w:line="276" w:lineRule="auto"/>
        <w:ind w:firstLine="709" w:left="0"/>
        <w:contextualSpacing w:val="1"/>
        <w:rPr>
          <w:rFonts w:ascii="Times New Roman" w:hAnsi="Times New Roman"/>
          <w:i w:val="1"/>
          <w:sz w:val="24"/>
        </w:rPr>
      </w:pPr>
      <w:r>
        <w:rPr>
          <w:rFonts w:ascii="Times New Roman" w:hAnsi="Times New Roman"/>
          <w:b w:val="1"/>
          <w:sz w:val="24"/>
        </w:rPr>
        <w:t xml:space="preserve">3.2.2. Дополнительные источники </w:t>
      </w:r>
      <w:r>
        <w:rPr>
          <w:rFonts w:ascii="Times New Roman" w:hAnsi="Times New Roman"/>
          <w:i w:val="1"/>
          <w:sz w:val="24"/>
        </w:rPr>
        <w:t>(при необходимости)</w:t>
      </w:r>
    </w:p>
    <w:p w14:paraId="3E060000">
      <w:pPr>
        <w:ind w:firstLine="709" w:left="0"/>
        <w:contextualSpacing w:val="1"/>
        <w:jc w:val="both"/>
        <w:rPr>
          <w:rFonts w:ascii="Times New Roman" w:hAnsi="Times New Roman"/>
          <w:i w:val="1"/>
          <w:sz w:val="24"/>
        </w:rPr>
      </w:pPr>
      <w:r>
        <w:rPr>
          <w:rFonts w:ascii="Times New Roman" w:hAnsi="Times New Roman"/>
          <w:sz w:val="24"/>
        </w:rPr>
        <w:t>1.</w:t>
      </w:r>
      <w:r>
        <w:rPr>
          <w:rFonts w:ascii="Times New Roman" w:hAnsi="Times New Roman"/>
          <w:b w:val="1"/>
          <w:i w:val="1"/>
          <w:sz w:val="24"/>
        </w:rPr>
        <w:t xml:space="preserve"> </w:t>
      </w:r>
      <w:r>
        <w:rPr>
          <w:rFonts w:ascii="Times New Roman" w:hAnsi="Times New Roman"/>
          <w:sz w:val="24"/>
        </w:rPr>
        <w:t xml:space="preserve">Румянцева, Е. Е. Экономический анализ: учебник и практикум для среднего профессионального образования / Е. Е. Румянцева. - Москва: Издательство </w:t>
      </w:r>
      <w:r>
        <w:rPr>
          <w:rFonts w:ascii="Times New Roman" w:hAnsi="Times New Roman"/>
          <w:sz w:val="24"/>
        </w:rPr>
        <w:t>Юрайт</w:t>
      </w:r>
      <w:r>
        <w:rPr>
          <w:rFonts w:ascii="Times New Roman" w:hAnsi="Times New Roman"/>
          <w:sz w:val="24"/>
        </w:rPr>
        <w:t>, 2021 – 381с. – (</w:t>
      </w:r>
      <w:r>
        <w:rPr>
          <w:rFonts w:ascii="Times New Roman" w:hAnsi="Times New Roman"/>
          <w:sz w:val="24"/>
        </w:rPr>
        <w:t xml:space="preserve">Профессиональное образование) – </w:t>
      </w:r>
      <w:r>
        <w:rPr>
          <w:rFonts w:ascii="Times New Roman" w:hAnsi="Times New Roman"/>
          <w:sz w:val="24"/>
        </w:rPr>
        <w:t>URL</w:t>
      </w:r>
      <w:r>
        <w:rPr>
          <w:rFonts w:ascii="Times New Roman" w:hAnsi="Times New Roman"/>
          <w:sz w:val="24"/>
        </w:rPr>
        <w:t>:</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HYPERLINK "https://urait.ru/viewer/ekonomicheskiy-analiz-471026"</w:instrText>
      </w:r>
      <w:r>
        <w:rPr>
          <w:rFonts w:ascii="Times New Roman" w:hAnsi="Times New Roman"/>
          <w:sz w:val="24"/>
        </w:rPr>
        <w:fldChar w:fldCharType="separate"/>
      </w:r>
      <w:r>
        <w:rPr>
          <w:rFonts w:ascii="Times New Roman" w:hAnsi="Times New Roman"/>
          <w:sz w:val="24"/>
        </w:rPr>
        <w:t>https://urait.ru/viewer/ekonomicheskiy-analiz-471026</w:t>
      </w:r>
      <w:r>
        <w:rPr>
          <w:rFonts w:ascii="Times New Roman" w:hAnsi="Times New Roman"/>
          <w:sz w:val="24"/>
        </w:rPr>
        <w:fldChar w:fldCharType="end"/>
      </w:r>
      <w:r>
        <w:rPr>
          <w:rFonts w:ascii="Times New Roman" w:hAnsi="Times New Roman"/>
          <w:sz w:val="24"/>
        </w:rPr>
        <w:t xml:space="preserve">. </w:t>
      </w:r>
      <w:r>
        <w:rPr>
          <w:rFonts w:ascii="Times New Roman" w:hAnsi="Times New Roman"/>
          <w:sz w:val="24"/>
        </w:rPr>
        <w:t>Режим доступа: для зарегистрированных пользователей. - Текст: электронный.</w:t>
      </w:r>
    </w:p>
    <w:p w14:paraId="3F060000">
      <w:pPr>
        <w:ind w:firstLine="709" w:left="0"/>
        <w:contextualSpacing w:val="1"/>
        <w:jc w:val="both"/>
        <w:rPr>
          <w:rFonts w:ascii="Times New Roman" w:hAnsi="Times New Roman"/>
          <w:i w:val="1"/>
          <w:sz w:val="24"/>
        </w:rPr>
      </w:pPr>
      <w:r>
        <w:rPr>
          <w:rFonts w:ascii="Times New Roman" w:hAnsi="Times New Roman"/>
          <w:sz w:val="24"/>
        </w:rPr>
        <w:t xml:space="preserve">2. Захаров, И. В.  Бухгалтерский учет и анализ : учебник для среднего профессионального образования / И. В. Захаров, О. Н. Тарасова ; под редакцией И. М. Дмитриевой. — Москва : Издательство </w:t>
      </w:r>
      <w:r>
        <w:rPr>
          <w:rFonts w:ascii="Times New Roman" w:hAnsi="Times New Roman"/>
          <w:sz w:val="24"/>
        </w:rPr>
        <w:t>Юрайт</w:t>
      </w:r>
      <w:r>
        <w:rPr>
          <w:rFonts w:ascii="Times New Roman" w:hAnsi="Times New Roman"/>
          <w:sz w:val="24"/>
        </w:rPr>
        <w:t>, 2021. — 423 с. — (Профессиональное образование). — ISBN 978.</w:t>
      </w:r>
    </w:p>
    <w:p w14:paraId="40060000">
      <w:pPr>
        <w:ind w:firstLine="709" w:left="0"/>
        <w:contextualSpacing w:val="1"/>
        <w:jc w:val="both"/>
        <w:rPr>
          <w:rFonts w:ascii="Times New Roman" w:hAnsi="Times New Roman"/>
          <w:i w:val="1"/>
          <w:sz w:val="24"/>
        </w:rPr>
      </w:pPr>
      <w:r>
        <w:rPr>
          <w:rFonts w:ascii="Times New Roman" w:hAnsi="Times New Roman"/>
          <w:sz w:val="24"/>
        </w:rPr>
        <w:t>3.</w:t>
      </w:r>
      <w:r>
        <w:rPr>
          <w:rFonts w:ascii="Times New Roman" w:hAnsi="Times New Roman"/>
          <w:i w:val="1"/>
          <w:sz w:val="24"/>
        </w:rPr>
        <w:t xml:space="preserve"> </w:t>
      </w:r>
      <w:r>
        <w:rPr>
          <w:rFonts w:ascii="Times New Roman" w:hAnsi="Times New Roman"/>
          <w:sz w:val="24"/>
        </w:rPr>
        <w:t xml:space="preserve">Прокопьева, Ю.В. Бухгалтерский учет и анализ: учебное пособие для СПО/ Ю. В. Прокопьева. - Саратов: </w:t>
      </w:r>
      <w:r>
        <w:rPr>
          <w:rFonts w:ascii="Times New Roman" w:hAnsi="Times New Roman"/>
          <w:sz w:val="24"/>
        </w:rPr>
        <w:t>Профобразование, Ай Пи Медиа, 2020. – 319с. -</w:t>
      </w:r>
      <w:r>
        <w:rPr>
          <w:rFonts w:ascii="Times New Roman" w:hAnsi="Times New Roman"/>
          <w:sz w:val="24"/>
        </w:rPr>
        <w:t xml:space="preserve"> Текст: электронный// Электронный ресурс цифровой образовательной среды СПО </w:t>
      </w:r>
      <w:r>
        <w:rPr>
          <w:rFonts w:ascii="Times New Roman" w:hAnsi="Times New Roman"/>
          <w:sz w:val="24"/>
        </w:rPr>
        <w:t>PROF</w:t>
      </w:r>
      <w:r>
        <w:rPr>
          <w:rFonts w:ascii="Times New Roman" w:hAnsi="Times New Roman"/>
          <w:sz w:val="24"/>
        </w:rPr>
        <w:t xml:space="preserve">-образование: [сайт]. – </w:t>
      </w:r>
      <w:r>
        <w:rPr>
          <w:rFonts w:ascii="Times New Roman" w:hAnsi="Times New Roman"/>
          <w:sz w:val="24"/>
        </w:rPr>
        <w:t>URL</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HYPERLINK "https://profspo.ru/books/90197.html"</w:instrText>
      </w:r>
      <w:r>
        <w:rPr>
          <w:rFonts w:ascii="Times New Roman" w:hAnsi="Times New Roman"/>
          <w:sz w:val="24"/>
        </w:rPr>
        <w:fldChar w:fldCharType="separate"/>
      </w:r>
      <w:r>
        <w:rPr>
          <w:rFonts w:ascii="Times New Roman" w:hAnsi="Times New Roman"/>
          <w:sz w:val="24"/>
        </w:rPr>
        <w:t>https</w:t>
      </w:r>
      <w:r>
        <w:rPr>
          <w:rFonts w:ascii="Times New Roman" w:hAnsi="Times New Roman"/>
          <w:sz w:val="24"/>
        </w:rPr>
        <w:t>://</w:t>
      </w:r>
      <w:r>
        <w:rPr>
          <w:rFonts w:ascii="Times New Roman" w:hAnsi="Times New Roman"/>
          <w:sz w:val="24"/>
        </w:rPr>
        <w:t>profspo</w:t>
      </w:r>
      <w:r>
        <w:rPr>
          <w:rFonts w:ascii="Times New Roman" w:hAnsi="Times New Roman"/>
          <w:sz w:val="24"/>
        </w:rPr>
        <w:t>.</w:t>
      </w:r>
      <w:r>
        <w:rPr>
          <w:rFonts w:ascii="Times New Roman" w:hAnsi="Times New Roman"/>
          <w:sz w:val="24"/>
        </w:rPr>
        <w:t>ru</w:t>
      </w:r>
      <w:r>
        <w:rPr>
          <w:rFonts w:ascii="Times New Roman" w:hAnsi="Times New Roman"/>
          <w:sz w:val="24"/>
        </w:rPr>
        <w:t>/</w:t>
      </w:r>
      <w:r>
        <w:rPr>
          <w:rFonts w:ascii="Times New Roman" w:hAnsi="Times New Roman"/>
          <w:sz w:val="24"/>
        </w:rPr>
        <w:t>books</w:t>
      </w:r>
      <w:r>
        <w:rPr>
          <w:rFonts w:ascii="Times New Roman" w:hAnsi="Times New Roman"/>
          <w:sz w:val="24"/>
        </w:rPr>
        <w:t>/90197.</w:t>
      </w:r>
      <w:r>
        <w:rPr>
          <w:rFonts w:ascii="Times New Roman" w:hAnsi="Times New Roman"/>
          <w:sz w:val="24"/>
        </w:rPr>
        <w:t>html</w:t>
      </w:r>
      <w:r>
        <w:rPr>
          <w:rFonts w:ascii="Times New Roman" w:hAnsi="Times New Roman"/>
          <w:sz w:val="24"/>
        </w:rPr>
        <w:fldChar w:fldCharType="end"/>
      </w:r>
      <w:r>
        <w:rPr>
          <w:rFonts w:ascii="Times New Roman" w:hAnsi="Times New Roman"/>
          <w:sz w:val="24"/>
        </w:rPr>
        <w:t xml:space="preserve">. </w:t>
      </w:r>
      <w:bookmarkStart w:id="48" w:name="_Hlk83738722"/>
      <w:r>
        <w:rPr>
          <w:rFonts w:ascii="Times New Roman" w:hAnsi="Times New Roman"/>
          <w:sz w:val="24"/>
        </w:rPr>
        <w:t>Режим доступа: для зарегистрированных пользователей. - Текст: электронный.</w:t>
      </w:r>
      <w:bookmarkEnd w:id="48"/>
    </w:p>
    <w:p w14:paraId="41060000">
      <w:pPr>
        <w:ind w:firstLine="709" w:left="0"/>
        <w:contextualSpacing w:val="1"/>
        <w:jc w:val="both"/>
        <w:rPr>
          <w:rFonts w:ascii="Times New Roman" w:hAnsi="Times New Roman"/>
          <w:i w:val="1"/>
          <w:sz w:val="24"/>
        </w:rPr>
      </w:pPr>
      <w:r>
        <w:rPr>
          <w:rFonts w:ascii="Times New Roman" w:hAnsi="Times New Roman"/>
          <w:sz w:val="24"/>
        </w:rPr>
        <w:t>4.</w:t>
      </w:r>
      <w:r>
        <w:rPr>
          <w:rFonts w:ascii="Times New Roman" w:hAnsi="Times New Roman"/>
          <w:i w:val="1"/>
          <w:sz w:val="24"/>
        </w:rPr>
        <w:t xml:space="preserve"> </w:t>
      </w:r>
      <w:r>
        <w:rPr>
          <w:rFonts w:ascii="Times New Roman" w:hAnsi="Times New Roman"/>
          <w:sz w:val="24"/>
        </w:rPr>
        <w:t xml:space="preserve">Сироткин, С. А. Бухгалтерский учет и анализ : учебник / С.А. Сироткин, Н.Р. </w:t>
      </w:r>
      <w:r>
        <w:rPr>
          <w:rFonts w:ascii="Times New Roman" w:hAnsi="Times New Roman"/>
          <w:sz w:val="24"/>
        </w:rPr>
        <w:t>Кельчевская</w:t>
      </w:r>
      <w:r>
        <w:rPr>
          <w:rFonts w:ascii="Times New Roman" w:hAnsi="Times New Roman"/>
          <w:sz w:val="24"/>
        </w:rPr>
        <w:t>. — Москва : ИНФРА-М, 2021. — 355 с. — (Среднее профессиональное образование). - ISBN 978-5-16-016048-1. - Текст : электронный. - URL: https://znanium.com/catalog/product/1079194 (дата обращения: 02.08.2023). – Режим доступа: по подписке.</w:t>
      </w:r>
    </w:p>
    <w:p w14:paraId="42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Гражданский кодекс Российской Федерации в 4 частях (действующая редакция);</w:t>
      </w:r>
    </w:p>
    <w:p w14:paraId="43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Кодекс Российской Федерации об административных правонарушениях от 30.12.2001 № 195-ФЗ (действующая редакция);</w:t>
      </w:r>
    </w:p>
    <w:p w14:paraId="44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Налоговый кодекс Российской Федерации в 2 частях (действующая редакция);</w:t>
      </w:r>
    </w:p>
    <w:p w14:paraId="45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Трудовой кодекс Российской Федерации от 30.12.2001 № 197-ФЗ (действующая редакция);</w:t>
      </w:r>
    </w:p>
    <w:p w14:paraId="46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Уголовный кодекс Российской Федерации от 13.06.1996 № 63-ФЗ (действующая редакция);</w:t>
      </w:r>
    </w:p>
    <w:p w14:paraId="47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27.07.2010 № 208-ФЗ (действующая редакция) «О консолидированной финансовой отчетности»;</w:t>
      </w:r>
    </w:p>
    <w:p w14:paraId="48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Федеральный закон от 06.12.2011 № 402-ФЗ «О бухгалтерском учете» (действующая редакция);</w:t>
      </w:r>
    </w:p>
    <w:p w14:paraId="49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Постановление Правительства РФ в 3 частях от 01.01.2002 № 1 «О Классификации основных средств, включаемых в амортизационные группы» (действующая редакция);</w:t>
      </w:r>
    </w:p>
    <w:p w14:paraId="4A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Постановление Правительства Российской Федерации от 30.06.2004 №3 29 «О Министерстве Финансов Российской Федерации»</w:t>
      </w:r>
      <w:r>
        <w:rPr>
          <w:rFonts w:ascii="Times New Roman" w:hAnsi="Times New Roman"/>
          <w:sz w:val="24"/>
        </w:rPr>
        <w:t xml:space="preserve"> (действующая редакция);</w:t>
      </w:r>
    </w:p>
    <w:p w14:paraId="4B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«Учетная политика организации» (ПБУ 1/2008), утв. приказом Минфина России от 06.10.2008 № 106н (действующая редакция);</w:t>
      </w:r>
    </w:p>
    <w:p w14:paraId="4C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активов и обязательств, стоимость которых выражена в иностранной валюте» (ПБУ 3/2006), утв. приказом Минфина РФ от 27.11.2006 № 154н (действующая редакция);</w:t>
      </w:r>
    </w:p>
    <w:p w14:paraId="4D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«Бухгалтерская отчетность организации» (ПБУ 4/99), утв. приказом Минфина РФ от 06.07.1999 № 43н (действующая редакция);</w:t>
      </w:r>
    </w:p>
    <w:p w14:paraId="4E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Федеральный стандарт «Запасы» (ФСБУ 5/2019), утв. приказом Минфина России от 15.11.2019 № 180н);</w:t>
      </w:r>
    </w:p>
    <w:p w14:paraId="4F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Федеральный стандарт «Основные средства» (ФСБУ 6/2020), утв. приказом Минфина России от 17.09.2020 № 204н;</w:t>
      </w:r>
    </w:p>
    <w:p w14:paraId="50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«События после отчетной даты» (ПБУ 7/98), утв. приказом Минфина России от 25.11.1998 № 56н (действующая редакция);</w:t>
      </w:r>
    </w:p>
    <w:p w14:paraId="51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«Оценочные обязательства, условные обязательства и условные активы» (ПБУ 8/2010), утв. приказом Минфина России от 13.12.2010 № 167н (действующая редакция);</w:t>
      </w:r>
    </w:p>
    <w:p w14:paraId="52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«Доходы организации» (ПБУ 9/99), утв. Приказом Минфина России от 06.05.1999 № 32н (действующая редакция);</w:t>
      </w:r>
    </w:p>
    <w:p w14:paraId="53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«Расходы организации»(ПБУ 10/99), утв. приказом Минфина России от 06.05.1999 N 33н (действующая редакция);</w:t>
      </w:r>
    </w:p>
    <w:p w14:paraId="54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«Информация о связанных сторонах» (ПБУ 11/2008), утв. приказом Минфина России от 29.04.2008 № 48н (действующая редакция);</w:t>
      </w:r>
    </w:p>
    <w:p w14:paraId="55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«Информация по сегментам» (ПБУ 12/2010), утв. Приказом Минфина РФ от 08.11.2010 № 143н (действующая редакция);</w:t>
      </w:r>
    </w:p>
    <w:p w14:paraId="56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государственной помощи» (ПБУ 13/2000), утв. приказом Минфина РФ от 16.10.2000 № 92н (действующая редакция);</w:t>
      </w:r>
    </w:p>
    <w:p w14:paraId="57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нематериальных активов» (ПБУ 14/2007), утв. приказом Минфина России от 27.12.2007 № 153н (действующая редакция);</w:t>
      </w:r>
    </w:p>
    <w:p w14:paraId="58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расходов по займам и кредитам» (ПБУ 15/2008), утв. приказом Минфина России от 06.10.2008 № 107н (действующая редакция);</w:t>
      </w:r>
    </w:p>
    <w:p w14:paraId="59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«Информация по прекращаемой деятельности» (ПБУ 16/02), утв. приказом Минфина России от 02.07.2002 № 66н (действующая редакция);</w:t>
      </w:r>
    </w:p>
    <w:p w14:paraId="5A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расходов на научно-исследовательские, опытно-конструкторские и технологические работы» (ПБУ 17/02), утв. приказом Минфина России от 19.11.2002 № 115н (действующая редакция);</w:t>
      </w:r>
    </w:p>
    <w:p w14:paraId="5B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расчетов по налогу на прибыль организаций» (ПБУ 18/02), утв. приказом Минфина России от 19.11.2002 № 114н (действующая редакция);</w:t>
      </w:r>
    </w:p>
    <w:p w14:paraId="5C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финансовых вложений» (ПБУ 19/02), утв. приказом Минфина России от 10.12.2002 № 126н (действующая редакция);</w:t>
      </w:r>
    </w:p>
    <w:p w14:paraId="5D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«Информация об участии в совместной деятельности» (ПБУ 20/03), утв. приказом Минфина РФ от 24.11.2003 № 105н (действующая редакция);</w:t>
      </w:r>
    </w:p>
    <w:p w14:paraId="5E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«Изменения оценочных значений» (ПБУ 21/2008), утв. приказом Минфина России от 06.10.2008 № 106н (действующая редакция);</w:t>
      </w:r>
    </w:p>
    <w:p w14:paraId="5F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 xml:space="preserve">Положение по бухгалтерскому учету «Исправление ошибок в бухгалтерском учете и отчетности» (ПБУ 22/2010), утв. приказом Минфина России от 28.06.2010 № 63н (действующая редакция); </w:t>
      </w:r>
    </w:p>
    <w:p w14:paraId="60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«Отчет о движении денежных средств» (ПБУ 23/2011), утв. приказом Минфина РФ от 02.02.2011 № 11н (действующая редакция);</w:t>
      </w:r>
    </w:p>
    <w:p w14:paraId="61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Положение по бухгалтерскому учету «Учет затрат на освоение природных ресурсов» (ПБУ 24/2011), утв. приказом Минфина РФ от 06.10.2011 № 125н (действующая редакция);</w:t>
      </w:r>
    </w:p>
    <w:p w14:paraId="62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Федеральный стандарт бухгалтерского учета ФСБУ 26/2020 «Капитальные вложения», утв. приказом Минфина РФ от 17.09.2020 № 204н (действующая редакция);</w:t>
      </w:r>
    </w:p>
    <w:p w14:paraId="63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России от 12.11.2013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 в действующей редакции);</w:t>
      </w:r>
    </w:p>
    <w:p w14:paraId="64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РФ от 13.06.1995 № 49 «Об утверждении Методических указаний по инвентаризации имущества и финансовых обязательств» (действующая редакция);</w:t>
      </w:r>
    </w:p>
    <w:p w14:paraId="65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w:t>
      </w:r>
      <w:r>
        <w:rPr>
          <w:rFonts w:ascii="Times New Roman" w:hAnsi="Times New Roman"/>
          <w:sz w:val="24"/>
        </w:rPr>
        <w:t xml:space="preserve"> (действующая редакция);</w:t>
      </w:r>
    </w:p>
    <w:p w14:paraId="66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России от 29.07.1998 № 34н«Об утверждении Положения по ведению бухгалтерского учета и бухгалтерской отчетности в Российской Федерации» (действующая редакция);</w:t>
      </w:r>
    </w:p>
    <w:p w14:paraId="67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РФ от 31.10.2000 №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68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России от 02.07.2010 № 66н «О формах бухгалтерской отчетности организаций» (действующая редакция);</w:t>
      </w:r>
    </w:p>
    <w:p w14:paraId="69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Приказ Минфина России от 16.04.2021 № 62н «Об утверждении Федерального стандарта бухгалтерского учета ФСБУ 27/2021 «Документы и документооборот в бухгалтерском учете» (Зарегистрировано в Минюсте России 07.06.2021 N 63814);</w:t>
      </w:r>
    </w:p>
    <w:p w14:paraId="6A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 xml:space="preserve">Справочно-правовая система «КонсультантПлюс» – </w:t>
      </w:r>
      <w:r>
        <w:rPr>
          <w:rFonts w:ascii="Times New Roman" w:hAnsi="Times New Roman"/>
          <w:sz w:val="24"/>
        </w:rPr>
        <w:t>URL</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HYPERLINK "http://www.consultant.ru"</w:instrText>
      </w:r>
      <w:r>
        <w:rPr>
          <w:rFonts w:ascii="Times New Roman" w:hAnsi="Times New Roman"/>
          <w:sz w:val="24"/>
        </w:rPr>
        <w:fldChar w:fldCharType="separate"/>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consultant</w:t>
      </w:r>
      <w:r>
        <w:rPr>
          <w:rFonts w:ascii="Times New Roman" w:hAnsi="Times New Roman"/>
          <w:sz w:val="24"/>
        </w:rPr>
        <w:t>.</w:t>
      </w:r>
      <w:r>
        <w:rPr>
          <w:rFonts w:ascii="Times New Roman" w:hAnsi="Times New Roman"/>
          <w:sz w:val="24"/>
        </w:rPr>
        <w:t>ru</w:t>
      </w:r>
      <w:r>
        <w:rPr>
          <w:rFonts w:ascii="Times New Roman" w:hAnsi="Times New Roman"/>
          <w:sz w:val="24"/>
        </w:rPr>
        <w:fldChar w:fldCharType="end"/>
      </w:r>
      <w:r>
        <w:rPr>
          <w:rFonts w:ascii="Times New Roman" w:hAnsi="Times New Roman"/>
          <w:sz w:val="24"/>
        </w:rPr>
        <w:t xml:space="preserve"> – </w:t>
      </w:r>
    </w:p>
    <w:p w14:paraId="6B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С</w:t>
      </w:r>
      <w:r>
        <w:rPr>
          <w:rFonts w:ascii="Times New Roman" w:hAnsi="Times New Roman"/>
          <w:sz w:val="24"/>
        </w:rPr>
        <w:t xml:space="preserve">правочно-правовая система «Гарант» – URL: </w:t>
      </w:r>
      <w:r>
        <w:rPr>
          <w:rFonts w:ascii="Times New Roman" w:hAnsi="Times New Roman"/>
          <w:sz w:val="24"/>
        </w:rPr>
        <w:fldChar w:fldCharType="begin"/>
      </w:r>
      <w:r>
        <w:rPr>
          <w:rFonts w:ascii="Times New Roman" w:hAnsi="Times New Roman"/>
          <w:sz w:val="24"/>
        </w:rPr>
        <w:instrText>HYPERLINK "http://www.garant.ru"</w:instrText>
      </w:r>
      <w:r>
        <w:rPr>
          <w:rFonts w:ascii="Times New Roman" w:hAnsi="Times New Roman"/>
          <w:sz w:val="24"/>
        </w:rPr>
        <w:fldChar w:fldCharType="separate"/>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garant</w:t>
      </w:r>
      <w:r>
        <w:rPr>
          <w:rFonts w:ascii="Times New Roman" w:hAnsi="Times New Roman"/>
          <w:sz w:val="24"/>
        </w:rPr>
        <w:t>.</w:t>
      </w:r>
      <w:r>
        <w:rPr>
          <w:rFonts w:ascii="Times New Roman" w:hAnsi="Times New Roman"/>
          <w:sz w:val="24"/>
        </w:rPr>
        <w:t>ru</w:t>
      </w:r>
      <w:r>
        <w:rPr>
          <w:rFonts w:ascii="Times New Roman" w:hAnsi="Times New Roman"/>
          <w:sz w:val="24"/>
        </w:rPr>
        <w:fldChar w:fldCharType="end"/>
      </w:r>
    </w:p>
    <w:p w14:paraId="6C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 xml:space="preserve">Официальный сайт Министерства финансов Российской Федерации – URL: </w:t>
      </w:r>
      <w:r>
        <w:rPr>
          <w:rFonts w:ascii="Times New Roman" w:hAnsi="Times New Roman"/>
          <w:sz w:val="24"/>
        </w:rPr>
        <w:fldChar w:fldCharType="begin"/>
      </w:r>
      <w:r>
        <w:rPr>
          <w:rFonts w:ascii="Times New Roman" w:hAnsi="Times New Roman"/>
          <w:sz w:val="24"/>
        </w:rPr>
        <w:instrText>HYPERLINK "http://www.minfin.ru"</w:instrText>
      </w:r>
      <w:r>
        <w:rPr>
          <w:rFonts w:ascii="Times New Roman" w:hAnsi="Times New Roman"/>
          <w:sz w:val="24"/>
        </w:rPr>
        <w:fldChar w:fldCharType="separate"/>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minfin</w:t>
      </w:r>
      <w:r>
        <w:rPr>
          <w:rFonts w:ascii="Times New Roman" w:hAnsi="Times New Roman"/>
          <w:sz w:val="24"/>
        </w:rPr>
        <w:t>.</w:t>
      </w:r>
      <w:r>
        <w:rPr>
          <w:rFonts w:ascii="Times New Roman" w:hAnsi="Times New Roman"/>
          <w:sz w:val="24"/>
        </w:rPr>
        <w:t>ru</w:t>
      </w:r>
      <w:r>
        <w:rPr>
          <w:rFonts w:ascii="Times New Roman" w:hAnsi="Times New Roman"/>
          <w:sz w:val="24"/>
        </w:rPr>
        <w:fldChar w:fldCharType="end"/>
      </w:r>
    </w:p>
    <w:p w14:paraId="6D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 xml:space="preserve">Официальный сайт Федеральной налоговой службы – URL: </w:t>
      </w:r>
      <w:r>
        <w:rPr>
          <w:rFonts w:ascii="Times New Roman" w:hAnsi="Times New Roman"/>
          <w:sz w:val="24"/>
        </w:rPr>
        <w:fldChar w:fldCharType="begin"/>
      </w:r>
      <w:r>
        <w:rPr>
          <w:rFonts w:ascii="Times New Roman" w:hAnsi="Times New Roman"/>
          <w:sz w:val="24"/>
        </w:rPr>
        <w:instrText>HYPERLINK "http://www.nalog.ru"</w:instrText>
      </w:r>
      <w:r>
        <w:rPr>
          <w:rFonts w:ascii="Times New Roman" w:hAnsi="Times New Roman"/>
          <w:sz w:val="24"/>
        </w:rPr>
        <w:fldChar w:fldCharType="separate"/>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nalog</w:t>
      </w:r>
      <w:r>
        <w:rPr>
          <w:rFonts w:ascii="Times New Roman" w:hAnsi="Times New Roman"/>
          <w:sz w:val="24"/>
        </w:rPr>
        <w:t>.</w:t>
      </w:r>
      <w:r>
        <w:rPr>
          <w:rFonts w:ascii="Times New Roman" w:hAnsi="Times New Roman"/>
          <w:sz w:val="24"/>
        </w:rPr>
        <w:t>ru</w:t>
      </w:r>
      <w:r>
        <w:rPr>
          <w:rFonts w:ascii="Times New Roman" w:hAnsi="Times New Roman"/>
          <w:sz w:val="24"/>
        </w:rPr>
        <w:fldChar w:fldCharType="end"/>
      </w:r>
    </w:p>
    <w:p w14:paraId="6E060000">
      <w:pPr>
        <w:numPr>
          <w:ilvl w:val="0"/>
          <w:numId w:val="15"/>
        </w:numPr>
        <w:tabs>
          <w:tab w:leader="none" w:pos="1134" w:val="left"/>
        </w:tabs>
        <w:ind w:firstLine="709" w:left="0"/>
        <w:jc w:val="both"/>
        <w:rPr>
          <w:rFonts w:ascii="Times New Roman" w:hAnsi="Times New Roman"/>
          <w:sz w:val="24"/>
        </w:rPr>
      </w:pPr>
      <w:r>
        <w:rPr>
          <w:rFonts w:ascii="Times New Roman" w:hAnsi="Times New Roman"/>
          <w:sz w:val="24"/>
        </w:rPr>
        <w:t xml:space="preserve">Официальный сайт Федерального казначейства – URL: </w:t>
      </w:r>
      <w:r>
        <w:rPr>
          <w:rFonts w:ascii="Times New Roman" w:hAnsi="Times New Roman"/>
          <w:sz w:val="24"/>
        </w:rPr>
        <w:fldChar w:fldCharType="begin"/>
      </w:r>
      <w:r>
        <w:rPr>
          <w:rFonts w:ascii="Times New Roman" w:hAnsi="Times New Roman"/>
          <w:sz w:val="24"/>
        </w:rPr>
        <w:instrText>HYPERLINK "http://www.roskazna.ru"</w:instrText>
      </w:r>
      <w:r>
        <w:rPr>
          <w:rFonts w:ascii="Times New Roman" w:hAnsi="Times New Roman"/>
          <w:sz w:val="24"/>
        </w:rPr>
        <w:fldChar w:fldCharType="separate"/>
      </w:r>
      <w:r>
        <w:rPr>
          <w:rFonts w:ascii="Times New Roman" w:hAnsi="Times New Roman"/>
          <w:sz w:val="24"/>
        </w:rPr>
        <w:t>http://www.</w:t>
      </w:r>
      <w:r>
        <w:rPr>
          <w:rFonts w:ascii="Times New Roman" w:hAnsi="Times New Roman"/>
          <w:sz w:val="24"/>
        </w:rPr>
        <w:t>roskazna</w:t>
      </w:r>
      <w:r>
        <w:rPr>
          <w:rFonts w:ascii="Times New Roman" w:hAnsi="Times New Roman"/>
          <w:sz w:val="24"/>
        </w:rPr>
        <w:t>.</w:t>
      </w:r>
      <w:r>
        <w:rPr>
          <w:rFonts w:ascii="Times New Roman" w:hAnsi="Times New Roman"/>
          <w:sz w:val="24"/>
        </w:rPr>
        <w:t>ru</w:t>
      </w:r>
      <w:r>
        <w:rPr>
          <w:rFonts w:ascii="Times New Roman" w:hAnsi="Times New Roman"/>
          <w:sz w:val="24"/>
        </w:rPr>
        <w:fldChar w:fldCharType="end"/>
      </w:r>
    </w:p>
    <w:p w14:paraId="6F060000">
      <w:pPr>
        <w:numPr>
          <w:ilvl w:val="0"/>
          <w:numId w:val="15"/>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Пенсионного фонда России – URL: </w:t>
      </w:r>
      <w:r>
        <w:rPr>
          <w:rFonts w:ascii="Times New Roman" w:hAnsi="Times New Roman"/>
          <w:sz w:val="24"/>
        </w:rPr>
        <w:fldChar w:fldCharType="begin"/>
      </w:r>
      <w:r>
        <w:rPr>
          <w:rFonts w:ascii="Times New Roman" w:hAnsi="Times New Roman"/>
          <w:sz w:val="24"/>
        </w:rPr>
        <w:instrText>HYPERLINK "http://www.pfrf.ru/"</w:instrText>
      </w:r>
      <w:r>
        <w:rPr>
          <w:rFonts w:ascii="Times New Roman" w:hAnsi="Times New Roman"/>
          <w:sz w:val="24"/>
        </w:rPr>
        <w:fldChar w:fldCharType="separate"/>
      </w:r>
      <w:r>
        <w:rPr>
          <w:rFonts w:ascii="Times New Roman" w:hAnsi="Times New Roman"/>
          <w:sz w:val="24"/>
        </w:rPr>
        <w:t>http://www.pfrf.ru/</w:t>
      </w:r>
      <w:r>
        <w:rPr>
          <w:rFonts w:ascii="Times New Roman" w:hAnsi="Times New Roman"/>
          <w:sz w:val="24"/>
        </w:rPr>
        <w:fldChar w:fldCharType="end"/>
      </w:r>
    </w:p>
    <w:p w14:paraId="70060000">
      <w:pPr>
        <w:numPr>
          <w:ilvl w:val="0"/>
          <w:numId w:val="15"/>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Фонда социального страхования – URL: </w:t>
      </w:r>
      <w:r>
        <w:rPr>
          <w:rFonts w:ascii="Times New Roman" w:hAnsi="Times New Roman"/>
          <w:sz w:val="24"/>
        </w:rPr>
        <w:fldChar w:fldCharType="begin"/>
      </w:r>
      <w:r>
        <w:rPr>
          <w:rFonts w:ascii="Times New Roman" w:hAnsi="Times New Roman"/>
          <w:sz w:val="24"/>
        </w:rPr>
        <w:instrText>HYPERLINK "http://fss.ru/"</w:instrText>
      </w:r>
      <w:r>
        <w:rPr>
          <w:rFonts w:ascii="Times New Roman" w:hAnsi="Times New Roman"/>
          <w:sz w:val="24"/>
        </w:rPr>
        <w:fldChar w:fldCharType="separate"/>
      </w:r>
      <w:r>
        <w:rPr>
          <w:rFonts w:ascii="Times New Roman" w:hAnsi="Times New Roman"/>
          <w:sz w:val="24"/>
        </w:rPr>
        <w:t>http://fss.ru/</w:t>
      </w:r>
      <w:r>
        <w:rPr>
          <w:rFonts w:ascii="Times New Roman" w:hAnsi="Times New Roman"/>
          <w:sz w:val="24"/>
        </w:rPr>
        <w:fldChar w:fldCharType="end"/>
      </w:r>
    </w:p>
    <w:p w14:paraId="71060000">
      <w:pPr>
        <w:numPr>
          <w:ilvl w:val="0"/>
          <w:numId w:val="15"/>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Фонда обязательного медицинского страхования – URL: </w:t>
      </w:r>
      <w:r>
        <w:rPr>
          <w:rFonts w:ascii="Times New Roman" w:hAnsi="Times New Roman"/>
          <w:sz w:val="24"/>
        </w:rPr>
        <w:fldChar w:fldCharType="begin"/>
      </w:r>
      <w:r>
        <w:rPr>
          <w:rFonts w:ascii="Times New Roman" w:hAnsi="Times New Roman"/>
          <w:sz w:val="24"/>
        </w:rPr>
        <w:instrText>HYPERLINK "http://www.ffoms.ru/"</w:instrText>
      </w:r>
      <w:r>
        <w:rPr>
          <w:rFonts w:ascii="Times New Roman" w:hAnsi="Times New Roman"/>
          <w:sz w:val="24"/>
        </w:rPr>
        <w:fldChar w:fldCharType="separate"/>
      </w:r>
      <w:r>
        <w:rPr>
          <w:rFonts w:ascii="Times New Roman" w:hAnsi="Times New Roman"/>
          <w:sz w:val="24"/>
        </w:rPr>
        <w:t>http://www.ffoms.ru/</w:t>
      </w:r>
      <w:r>
        <w:rPr>
          <w:rFonts w:ascii="Times New Roman" w:hAnsi="Times New Roman"/>
          <w:sz w:val="24"/>
        </w:rPr>
        <w:fldChar w:fldCharType="end"/>
      </w:r>
    </w:p>
    <w:p w14:paraId="72060000">
      <w:pPr>
        <w:numPr>
          <w:ilvl w:val="0"/>
          <w:numId w:val="15"/>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Федеральной службы государственной статистики – URL: </w:t>
      </w:r>
      <w:r>
        <w:rPr>
          <w:rFonts w:ascii="Times New Roman" w:hAnsi="Times New Roman"/>
          <w:sz w:val="24"/>
        </w:rPr>
        <w:fldChar w:fldCharType="begin"/>
      </w:r>
      <w:r>
        <w:rPr>
          <w:rFonts w:ascii="Times New Roman" w:hAnsi="Times New Roman"/>
          <w:sz w:val="24"/>
        </w:rPr>
        <w:instrText>HYPERLINK "http://www.gks.ru/"</w:instrText>
      </w:r>
      <w:r>
        <w:rPr>
          <w:rFonts w:ascii="Times New Roman" w:hAnsi="Times New Roman"/>
          <w:sz w:val="24"/>
        </w:rPr>
        <w:fldChar w:fldCharType="separate"/>
      </w:r>
      <w:r>
        <w:rPr>
          <w:rFonts w:ascii="Times New Roman" w:hAnsi="Times New Roman"/>
          <w:sz w:val="24"/>
        </w:rPr>
        <w:t>http://www.gks.ru/</w:t>
      </w:r>
      <w:r>
        <w:rPr>
          <w:rFonts w:ascii="Times New Roman" w:hAnsi="Times New Roman"/>
          <w:sz w:val="24"/>
        </w:rPr>
        <w:fldChar w:fldCharType="end"/>
      </w:r>
      <w:r>
        <w:rPr>
          <w:rFonts w:ascii="Times New Roman" w:hAnsi="Times New Roman"/>
          <w:sz w:val="24"/>
        </w:rPr>
        <w:t xml:space="preserve"> </w:t>
      </w:r>
    </w:p>
    <w:p w14:paraId="73060000">
      <w:pPr>
        <w:numPr>
          <w:ilvl w:val="0"/>
          <w:numId w:val="15"/>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«1С:Предприятие 8» – URL: </w:t>
      </w:r>
      <w:r>
        <w:rPr>
          <w:rFonts w:ascii="Times New Roman" w:hAnsi="Times New Roman"/>
          <w:sz w:val="24"/>
        </w:rPr>
        <w:fldChar w:fldCharType="begin"/>
      </w:r>
      <w:r>
        <w:rPr>
          <w:rFonts w:ascii="Times New Roman" w:hAnsi="Times New Roman"/>
          <w:sz w:val="24"/>
        </w:rPr>
        <w:instrText>HYPERLINK "https://v8.1c.ru/"</w:instrText>
      </w:r>
      <w:r>
        <w:rPr>
          <w:rFonts w:ascii="Times New Roman" w:hAnsi="Times New Roman"/>
          <w:sz w:val="24"/>
        </w:rPr>
        <w:fldChar w:fldCharType="separate"/>
      </w:r>
      <w:r>
        <w:rPr>
          <w:rFonts w:ascii="Times New Roman" w:hAnsi="Times New Roman"/>
          <w:sz w:val="24"/>
        </w:rPr>
        <w:t>https</w:t>
      </w:r>
      <w:r>
        <w:rPr>
          <w:rFonts w:ascii="Times New Roman" w:hAnsi="Times New Roman"/>
          <w:sz w:val="24"/>
        </w:rPr>
        <w:t>://</w:t>
      </w:r>
      <w:r>
        <w:rPr>
          <w:rFonts w:ascii="Times New Roman" w:hAnsi="Times New Roman"/>
          <w:sz w:val="24"/>
        </w:rPr>
        <w:t>v</w:t>
      </w:r>
      <w:r>
        <w:rPr>
          <w:rFonts w:ascii="Times New Roman" w:hAnsi="Times New Roman"/>
          <w:sz w:val="24"/>
        </w:rPr>
        <w:t>8.1</w:t>
      </w:r>
      <w:r>
        <w:rPr>
          <w:rFonts w:ascii="Times New Roman" w:hAnsi="Times New Roman"/>
          <w:sz w:val="24"/>
        </w:rPr>
        <w:t>c</w:t>
      </w:r>
      <w:r>
        <w:rPr>
          <w:rFonts w:ascii="Times New Roman" w:hAnsi="Times New Roman"/>
          <w:sz w:val="24"/>
        </w:rPr>
        <w:t>.</w:t>
      </w:r>
      <w:r>
        <w:rPr>
          <w:rFonts w:ascii="Times New Roman" w:hAnsi="Times New Roman"/>
          <w:sz w:val="24"/>
        </w:rPr>
        <w:t>ru</w:t>
      </w:r>
      <w:r>
        <w:rPr>
          <w:rFonts w:ascii="Times New Roman" w:hAnsi="Times New Roman"/>
          <w:sz w:val="24"/>
        </w:rPr>
        <w:t>/</w:t>
      </w:r>
      <w:r>
        <w:rPr>
          <w:rFonts w:ascii="Times New Roman" w:hAnsi="Times New Roman"/>
          <w:sz w:val="24"/>
        </w:rPr>
        <w:fldChar w:fldCharType="end"/>
      </w:r>
    </w:p>
    <w:p w14:paraId="74060000">
      <w:pPr>
        <w:numPr>
          <w:ilvl w:val="0"/>
          <w:numId w:val="15"/>
        </w:numPr>
        <w:tabs>
          <w:tab w:leader="none" w:pos="1134" w:val="left"/>
        </w:tabs>
        <w:ind w:firstLine="709" w:left="0"/>
        <w:contextualSpacing w:val="1"/>
        <w:jc w:val="both"/>
        <w:rPr>
          <w:rFonts w:ascii="Times New Roman" w:hAnsi="Times New Roman"/>
          <w:sz w:val="24"/>
        </w:rPr>
      </w:pPr>
      <w:r>
        <w:rPr>
          <w:rFonts w:ascii="Times New Roman" w:hAnsi="Times New Roman"/>
          <w:sz w:val="24"/>
        </w:rPr>
        <w:t xml:space="preserve">Официальный сайт «1С:Предприятие 8» для учебных заведений – URL: </w:t>
      </w:r>
      <w:r>
        <w:rPr>
          <w:rFonts w:ascii="Times New Roman" w:hAnsi="Times New Roman"/>
          <w:sz w:val="24"/>
        </w:rPr>
        <w:fldChar w:fldCharType="begin"/>
      </w:r>
      <w:r>
        <w:rPr>
          <w:rFonts w:ascii="Times New Roman" w:hAnsi="Times New Roman"/>
          <w:sz w:val="24"/>
        </w:rPr>
        <w:instrText>HYPERLINK "http://edu.1cfresh.com/"</w:instrText>
      </w:r>
      <w:r>
        <w:rPr>
          <w:rFonts w:ascii="Times New Roman" w:hAnsi="Times New Roman"/>
          <w:sz w:val="24"/>
        </w:rPr>
        <w:fldChar w:fldCharType="separate"/>
      </w:r>
      <w:r>
        <w:rPr>
          <w:rFonts w:ascii="Times New Roman" w:hAnsi="Times New Roman"/>
          <w:sz w:val="24"/>
        </w:rPr>
        <w:t>http</w:t>
      </w:r>
      <w:r>
        <w:rPr>
          <w:rFonts w:ascii="Times New Roman" w:hAnsi="Times New Roman"/>
          <w:sz w:val="24"/>
        </w:rPr>
        <w:t>://</w:t>
      </w:r>
      <w:r>
        <w:rPr>
          <w:rFonts w:ascii="Times New Roman" w:hAnsi="Times New Roman"/>
          <w:sz w:val="24"/>
        </w:rPr>
        <w:t>edu</w:t>
      </w:r>
      <w:r>
        <w:rPr>
          <w:rFonts w:ascii="Times New Roman" w:hAnsi="Times New Roman"/>
          <w:sz w:val="24"/>
        </w:rPr>
        <w:t>.1</w:t>
      </w:r>
      <w:r>
        <w:rPr>
          <w:rFonts w:ascii="Times New Roman" w:hAnsi="Times New Roman"/>
          <w:sz w:val="24"/>
        </w:rPr>
        <w:t>cfresh</w:t>
      </w:r>
      <w:r>
        <w:rPr>
          <w:rFonts w:ascii="Times New Roman" w:hAnsi="Times New Roman"/>
          <w:sz w:val="24"/>
        </w:rPr>
        <w:t>.</w:t>
      </w:r>
      <w:r>
        <w:rPr>
          <w:rFonts w:ascii="Times New Roman" w:hAnsi="Times New Roman"/>
          <w:sz w:val="24"/>
        </w:rPr>
        <w:t>com</w:t>
      </w:r>
      <w:r>
        <w:rPr>
          <w:rFonts w:ascii="Times New Roman" w:hAnsi="Times New Roman"/>
          <w:sz w:val="24"/>
        </w:rPr>
        <w:t>/</w:t>
      </w:r>
      <w:r>
        <w:rPr>
          <w:rFonts w:ascii="Times New Roman" w:hAnsi="Times New Roman"/>
          <w:sz w:val="24"/>
        </w:rPr>
        <w:fldChar w:fldCharType="end"/>
      </w:r>
    </w:p>
    <w:p w14:paraId="75060000">
      <w:pPr>
        <w:tabs>
          <w:tab w:leader="none" w:pos="1134" w:val="left"/>
        </w:tabs>
        <w:ind/>
        <w:contextualSpacing w:val="1"/>
        <w:jc w:val="both"/>
        <w:rPr>
          <w:rFonts w:ascii="Times New Roman" w:hAnsi="Times New Roman"/>
          <w:sz w:val="24"/>
        </w:rPr>
      </w:pPr>
    </w:p>
    <w:p w14:paraId="76060000">
      <w:bookmarkStart w:id="49" w:name="__RefHeading___23"/>
      <w:bookmarkEnd w:id="49"/>
      <w:bookmarkStart w:id="50" w:name="__RefHeading___46"/>
      <w:bookmarkEnd w:id="50"/>
      <w:pPr>
        <w:pStyle w:val="Style_5"/>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r>
      <w:r>
        <w:rPr>
          <w:rFonts w:ascii="Times New Roman" w:hAnsi="Times New Roman"/>
        </w:rPr>
        <w:t>профессионального модуля</w:t>
      </w:r>
    </w:p>
    <w:tbl>
      <w:tblPr>
        <w:tblStyle w:val="Style_8"/>
        <w:tblW w:type="auto" w:w="0"/>
        <w:tblInd w:type="dxa" w:w="39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163"/>
        <w:gridCol w:w="4110"/>
        <w:gridCol w:w="3969"/>
      </w:tblGrid>
      <w:tr>
        <w:trPr>
          <w:trHeight w:hRule="atLeast" w:val="1098"/>
        </w:trPr>
        <w:tc>
          <w:tcPr>
            <w:tcW w:type="dxa" w:w="1163"/>
            <w:tcBorders>
              <w:top w:color="000000" w:sz="4" w:val="single"/>
              <w:left w:color="000000" w:sz="4" w:val="single"/>
              <w:bottom w:color="000000" w:sz="4" w:val="single"/>
              <w:right w:color="000000" w:sz="4" w:val="single"/>
            </w:tcBorders>
          </w:tcPr>
          <w:p w14:paraId="77060000">
            <w:pPr>
              <w:ind/>
              <w:jc w:val="center"/>
              <w:rPr>
                <w:rFonts w:ascii="Times New Roman" w:hAnsi="Times New Roman"/>
                <w:b w:val="1"/>
                <w:sz w:val="24"/>
              </w:rPr>
            </w:pPr>
            <w:r>
              <w:rPr>
                <w:rFonts w:ascii="Times New Roman" w:hAnsi="Times New Roman"/>
                <w:b w:val="1"/>
                <w:sz w:val="24"/>
              </w:rPr>
              <w:t xml:space="preserve">Код </w:t>
            </w:r>
            <w:r>
              <w:rPr>
                <w:rFonts w:ascii="Times New Roman" w:hAnsi="Times New Roman"/>
                <w:b w:val="1"/>
                <w:sz w:val="24"/>
              </w:rPr>
              <w:t>П</w:t>
            </w:r>
            <w:r>
              <w:rPr>
                <w:rFonts w:ascii="Times New Roman" w:hAnsi="Times New Roman"/>
                <w:b w:val="1"/>
                <w:sz w:val="24"/>
              </w:rPr>
              <w:t>К</w:t>
            </w:r>
            <w:r>
              <w:rPr>
                <w:rFonts w:ascii="Times New Roman" w:hAnsi="Times New Roman"/>
                <w:b w:val="1"/>
                <w:sz w:val="24"/>
              </w:rPr>
              <w:t>, ОК</w:t>
            </w:r>
          </w:p>
        </w:tc>
        <w:tc>
          <w:tcPr>
            <w:tcW w:type="dxa" w:w="4110"/>
            <w:tcBorders>
              <w:top w:color="000000" w:sz="4" w:val="single"/>
              <w:left w:color="000000" w:sz="4" w:val="single"/>
              <w:bottom w:color="000000" w:sz="4" w:val="single"/>
              <w:right w:color="000000" w:sz="4" w:val="single"/>
            </w:tcBorders>
            <w:vAlign w:val="center"/>
          </w:tcPr>
          <w:p w14:paraId="78060000">
            <w:pPr>
              <w:ind/>
              <w:jc w:val="center"/>
              <w:rPr>
                <w:rFonts w:ascii="Times New Roman" w:hAnsi="Times New Roman"/>
                <w:b w:val="1"/>
                <w:color w:val="FF0000"/>
                <w:sz w:val="24"/>
              </w:rPr>
            </w:pPr>
            <w:r>
              <w:rPr>
                <w:rFonts w:ascii="Times New Roman" w:hAnsi="Times New Roman"/>
                <w:b w:val="1"/>
                <w:sz w:val="24"/>
              </w:rPr>
              <w:t>Критерии</w:t>
            </w:r>
            <w:r>
              <w:rPr>
                <w:rFonts w:ascii="Times New Roman" w:hAnsi="Times New Roman"/>
                <w:b w:val="1"/>
                <w:sz w:val="24"/>
              </w:rPr>
              <w:t xml:space="preserve"> оценки результата</w:t>
            </w:r>
            <w:r>
              <w:rPr>
                <w:rFonts w:ascii="Times New Roman" w:hAnsi="Times New Roman"/>
                <w:b w:val="1"/>
                <w:sz w:val="24"/>
              </w:rPr>
              <w:t xml:space="preserve"> </w:t>
            </w:r>
            <w:r>
              <w:rPr>
                <w:rFonts w:ascii="Times New Roman" w:hAnsi="Times New Roman"/>
                <w:b w:val="1"/>
                <w:sz w:val="24"/>
              </w:rPr>
              <w:br/>
            </w:r>
            <w:r>
              <w:rPr>
                <w:rFonts w:ascii="Times New Roman" w:hAnsi="Times New Roman"/>
                <w:b w:val="1"/>
                <w:sz w:val="24"/>
              </w:rPr>
              <w:t>(п</w:t>
            </w:r>
            <w:r>
              <w:rPr>
                <w:rFonts w:ascii="Times New Roman" w:hAnsi="Times New Roman"/>
                <w:b w:val="1"/>
                <w:sz w:val="24"/>
              </w:rPr>
              <w:t>оказатели освоенности компетенций</w:t>
            </w:r>
            <w:r>
              <w:rPr>
                <w:rFonts w:ascii="Times New Roman" w:hAnsi="Times New Roman"/>
                <w:b w:val="1"/>
                <w:sz w:val="24"/>
              </w:rPr>
              <w:t>)</w:t>
            </w:r>
          </w:p>
        </w:tc>
        <w:tc>
          <w:tcPr>
            <w:tcW w:type="dxa" w:w="3969"/>
            <w:tcBorders>
              <w:top w:color="000000" w:sz="4" w:val="single"/>
              <w:left w:color="000000" w:sz="4" w:val="single"/>
              <w:bottom w:color="000000" w:sz="4" w:val="single"/>
              <w:right w:color="000000" w:sz="4" w:val="single"/>
            </w:tcBorders>
            <w:vAlign w:val="center"/>
          </w:tcPr>
          <w:p w14:paraId="79060000">
            <w:pPr>
              <w:ind/>
              <w:jc w:val="center"/>
              <w:rPr>
                <w:rFonts w:ascii="Times New Roman" w:hAnsi="Times New Roman"/>
                <w:b w:val="1"/>
                <w:color w:val="FF0000"/>
                <w:sz w:val="24"/>
              </w:rPr>
            </w:pPr>
            <w:r>
              <w:rPr>
                <w:rFonts w:ascii="Times New Roman" w:hAnsi="Times New Roman"/>
                <w:b w:val="1"/>
                <w:sz w:val="24"/>
              </w:rPr>
              <w:t xml:space="preserve">Формы контроля </w:t>
            </w:r>
            <w:r>
              <w:rPr>
                <w:rFonts w:ascii="Times New Roman" w:hAnsi="Times New Roman"/>
                <w:b w:val="1"/>
                <w:sz w:val="24"/>
              </w:rPr>
              <w:t>и</w:t>
            </w:r>
            <w:r>
              <w:rPr>
                <w:rFonts w:ascii="Times New Roman" w:hAnsi="Times New Roman"/>
                <w:b w:val="1"/>
                <w:sz w:val="24"/>
              </w:rPr>
              <w:t xml:space="preserve"> методы оценки</w:t>
            </w:r>
            <w:r>
              <w:rPr>
                <w:rStyle w:val="Style_12_ch"/>
                <w:rFonts w:ascii="Times New Roman" w:hAnsi="Times New Roman"/>
                <w:b w:val="1"/>
                <w:sz w:val="24"/>
              </w:rPr>
              <w:footnoteReference w:id="7"/>
            </w:r>
          </w:p>
        </w:tc>
      </w:tr>
      <w:tr>
        <w:trPr>
          <w:trHeight w:hRule="atLeast" w:val="1098"/>
        </w:trPr>
        <w:tc>
          <w:tcPr>
            <w:tcW w:type="dxa" w:w="1163"/>
            <w:tcBorders>
              <w:top w:color="000000" w:sz="4" w:val="single"/>
              <w:left w:color="000000" w:sz="4" w:val="single"/>
              <w:bottom w:color="000000" w:sz="4" w:val="single"/>
              <w:right w:color="000000" w:sz="4" w:val="single"/>
            </w:tcBorders>
          </w:tcPr>
          <w:p w14:paraId="7A060000">
            <w:pPr>
              <w:ind/>
              <w:jc w:val="both"/>
              <w:rPr>
                <w:rFonts w:ascii="Times New Roman" w:hAnsi="Times New Roman"/>
                <w:b w:val="1"/>
                <w:sz w:val="24"/>
              </w:rPr>
            </w:pPr>
            <w:r>
              <w:rPr>
                <w:rFonts w:ascii="Times New Roman" w:hAnsi="Times New Roman"/>
                <w:sz w:val="24"/>
              </w:rPr>
              <w:t>ОК 02</w:t>
            </w:r>
            <w:r>
              <w:rPr>
                <w:rFonts w:ascii="Times New Roman" w:hAnsi="Times New Roman"/>
                <w:sz w:val="24"/>
              </w:rPr>
              <w:t xml:space="preserve"> </w:t>
            </w:r>
          </w:p>
        </w:tc>
        <w:tc>
          <w:tcPr>
            <w:tcW w:type="dxa" w:w="4110"/>
            <w:tcBorders>
              <w:top w:color="000000" w:sz="4" w:val="single"/>
              <w:left w:color="000000" w:sz="4" w:val="single"/>
              <w:bottom w:color="000000" w:sz="4" w:val="single"/>
              <w:right w:color="000000" w:sz="4" w:val="single"/>
            </w:tcBorders>
          </w:tcPr>
          <w:p w14:paraId="7B060000">
            <w:pPr>
              <w:ind/>
              <w:jc w:val="both"/>
              <w:rPr>
                <w:rFonts w:ascii="Times New Roman" w:hAnsi="Times New Roman"/>
                <w:sz w:val="24"/>
              </w:rPr>
            </w:pPr>
            <w:r>
              <w:rPr>
                <w:rFonts w:ascii="Times New Roman" w:hAnsi="Times New Roman"/>
                <w:sz w:val="24"/>
              </w:rPr>
              <w:t xml:space="preserve">Демонстрация навыков использования </w:t>
            </w:r>
            <w:r>
              <w:rPr>
                <w:rFonts w:ascii="Times New Roman" w:hAnsi="Times New Roman"/>
                <w:sz w:val="24"/>
              </w:rPr>
              <w:t>современных средств поиска, анализа и интерпретации информации и информационные технологии для выполнения задач профессиональной деятельности.</w:t>
            </w:r>
          </w:p>
          <w:p w14:paraId="7C060000">
            <w:pPr>
              <w:ind/>
              <w:jc w:val="both"/>
              <w:rPr>
                <w:rFonts w:ascii="Times New Roman" w:hAnsi="Times New Roman"/>
                <w:b w:val="1"/>
                <w:sz w:val="24"/>
              </w:rPr>
            </w:pPr>
          </w:p>
        </w:tc>
        <w:tc>
          <w:tcPr>
            <w:tcW w:type="dxa" w:w="3969"/>
            <w:tcBorders>
              <w:top w:color="000000" w:sz="4" w:val="single"/>
              <w:left w:color="000000" w:sz="4" w:val="single"/>
              <w:bottom w:color="000000" w:sz="4" w:val="single"/>
              <w:right w:color="000000" w:sz="4" w:val="single"/>
            </w:tcBorders>
            <w:vAlign w:val="center"/>
          </w:tcPr>
          <w:p w14:paraId="7D06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7E06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7F06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80060000">
            <w:pPr>
              <w:ind/>
              <w:jc w:val="both"/>
              <w:rPr>
                <w:rFonts w:ascii="Times New Roman" w:hAnsi="Times New Roman"/>
                <w:sz w:val="24"/>
              </w:rPr>
            </w:pPr>
            <w:r>
              <w:rPr>
                <w:rFonts w:ascii="Times New Roman" w:hAnsi="Times New Roman"/>
                <w:sz w:val="24"/>
              </w:rPr>
              <w:t xml:space="preserve">-выполнении тестовых заданий; </w:t>
            </w:r>
          </w:p>
          <w:p w14:paraId="8106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82060000">
            <w:pPr>
              <w:ind/>
              <w:jc w:val="both"/>
              <w:rPr>
                <w:rFonts w:ascii="Times New Roman" w:hAnsi="Times New Roman"/>
                <w:color w:val="000000"/>
                <w:sz w:val="24"/>
              </w:rPr>
            </w:pPr>
            <w:r>
              <w:rPr>
                <w:rFonts w:ascii="Times New Roman" w:hAnsi="Times New Roman"/>
                <w:color w:val="000000"/>
                <w:sz w:val="24"/>
              </w:rPr>
              <w:t xml:space="preserve">Решение практико-ориентированных (ситуационных) заданий. </w:t>
            </w:r>
          </w:p>
          <w:p w14:paraId="83060000">
            <w:pPr>
              <w:ind/>
              <w:jc w:val="both"/>
              <w:rPr>
                <w:rFonts w:ascii="Times New Roman" w:hAnsi="Times New Roman"/>
                <w:sz w:val="24"/>
              </w:rPr>
            </w:pPr>
            <w:r>
              <w:rPr>
                <w:rFonts w:ascii="Times New Roman" w:hAnsi="Times New Roman"/>
                <w:sz w:val="24"/>
              </w:rPr>
              <w:t>Защита отчетов</w:t>
            </w:r>
            <w:r>
              <w:rPr>
                <w:rFonts w:ascii="Times New Roman" w:hAnsi="Times New Roman"/>
                <w:sz w:val="24"/>
              </w:rPr>
              <w:t xml:space="preserve"> по учебной и производственной практике. </w:t>
            </w:r>
          </w:p>
          <w:p w14:paraId="84060000">
            <w:pPr>
              <w:ind/>
              <w:jc w:val="both"/>
              <w:rPr>
                <w:rFonts w:ascii="Times New Roman" w:hAnsi="Times New Roman"/>
                <w:b w:val="1"/>
                <w:sz w:val="24"/>
              </w:rPr>
            </w:pPr>
            <w:r>
              <w:rPr>
                <w:rFonts w:ascii="Times New Roman" w:hAnsi="Times New Roman"/>
                <w:sz w:val="24"/>
              </w:rPr>
              <w:t>Экзамен по профессиональному модулю</w:t>
            </w:r>
          </w:p>
        </w:tc>
      </w:tr>
      <w:tr>
        <w:trPr>
          <w:trHeight w:hRule="atLeast" w:val="698"/>
        </w:trPr>
        <w:tc>
          <w:tcPr>
            <w:tcW w:type="dxa" w:w="1163"/>
            <w:tcBorders>
              <w:top w:color="000000" w:sz="4" w:val="single"/>
              <w:left w:color="000000" w:sz="4" w:val="single"/>
              <w:bottom w:color="000000" w:sz="4" w:val="single"/>
              <w:right w:color="000000" w:sz="4" w:val="single"/>
            </w:tcBorders>
          </w:tcPr>
          <w:p w14:paraId="85060000">
            <w:pPr>
              <w:ind/>
              <w:jc w:val="both"/>
              <w:rPr>
                <w:rFonts w:ascii="Times New Roman" w:hAnsi="Times New Roman"/>
                <w:sz w:val="24"/>
              </w:rPr>
            </w:pPr>
            <w:r>
              <w:rPr>
                <w:rFonts w:ascii="Times New Roman" w:hAnsi="Times New Roman"/>
                <w:sz w:val="24"/>
              </w:rPr>
              <w:t xml:space="preserve">ПК 2.1. </w:t>
            </w:r>
          </w:p>
        </w:tc>
        <w:tc>
          <w:tcPr>
            <w:tcW w:type="dxa" w:w="4110"/>
            <w:tcBorders>
              <w:top w:color="000000" w:sz="4" w:val="single"/>
              <w:left w:color="000000" w:sz="4" w:val="single"/>
              <w:bottom w:color="000000" w:sz="4" w:val="single"/>
              <w:right w:color="000000" w:sz="4" w:val="single"/>
            </w:tcBorders>
          </w:tcPr>
          <w:p w14:paraId="86060000">
            <w:pPr>
              <w:ind/>
              <w:jc w:val="both"/>
              <w:rPr>
                <w:rFonts w:ascii="Times New Roman" w:hAnsi="Times New Roman"/>
                <w:color w:val="000000"/>
                <w:sz w:val="24"/>
              </w:rPr>
            </w:pPr>
            <w:r>
              <w:rPr>
                <w:rFonts w:ascii="Times New Roman" w:hAnsi="Times New Roman"/>
                <w:color w:val="000000"/>
                <w:sz w:val="24"/>
              </w:rPr>
              <w:t xml:space="preserve">Владение методикой: </w:t>
            </w:r>
          </w:p>
          <w:p w14:paraId="87060000">
            <w:pPr>
              <w:ind/>
              <w:jc w:val="both"/>
              <w:rPr>
                <w:rFonts w:ascii="Times New Roman" w:hAnsi="Times New Roman"/>
                <w:sz w:val="24"/>
              </w:rPr>
            </w:pPr>
            <w:r>
              <w:rPr>
                <w:rFonts w:ascii="Times New Roman" w:hAnsi="Times New Roman"/>
                <w:i w:val="1"/>
                <w:sz w:val="24"/>
              </w:rPr>
              <w:t xml:space="preserve">- </w:t>
            </w:r>
            <w:r>
              <w:rPr>
                <w:rFonts w:ascii="Times New Roman" w:hAnsi="Times New Roman"/>
                <w:sz w:val="24"/>
              </w:rPr>
              <w:t>обеспечения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88060000">
            <w:pPr>
              <w:ind/>
              <w:jc w:val="both"/>
              <w:rPr>
                <w:rFonts w:ascii="Times New Roman" w:hAnsi="Times New Roman"/>
                <w:sz w:val="24"/>
              </w:rPr>
            </w:pPr>
            <w:r>
              <w:rPr>
                <w:rFonts w:ascii="Times New Roman" w:hAnsi="Times New Roman"/>
                <w:sz w:val="24"/>
              </w:rPr>
              <w:t>- сопоставления результатов инвентаризации с данными регистров бухгалтерского учета и составление сличительных ведомостей;</w:t>
            </w:r>
          </w:p>
          <w:p w14:paraId="89060000">
            <w:pPr>
              <w:ind/>
              <w:jc w:val="both"/>
              <w:rPr>
                <w:rFonts w:ascii="Times New Roman" w:hAnsi="Times New Roman"/>
                <w:i w:val="1"/>
                <w:sz w:val="24"/>
              </w:rPr>
            </w:pPr>
            <w:r>
              <w:rPr>
                <w:rFonts w:ascii="Times New Roman" w:hAnsi="Times New Roman"/>
                <w:sz w:val="24"/>
              </w:rPr>
              <w:t>- отражения в учете результатов инвентаризации и урегулирования инвентаризационных разниц</w:t>
            </w:r>
          </w:p>
        </w:tc>
        <w:tc>
          <w:tcPr>
            <w:tcW w:type="dxa" w:w="3969"/>
            <w:tcBorders>
              <w:top w:color="000000" w:sz="4" w:val="single"/>
              <w:left w:color="000000" w:sz="4" w:val="single"/>
              <w:bottom w:color="000000" w:sz="4" w:val="single"/>
              <w:right w:color="000000" w:sz="4" w:val="single"/>
            </w:tcBorders>
          </w:tcPr>
          <w:p w14:paraId="8A06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8B06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8C06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8D060000">
            <w:pPr>
              <w:ind/>
              <w:jc w:val="both"/>
              <w:rPr>
                <w:rFonts w:ascii="Times New Roman" w:hAnsi="Times New Roman"/>
                <w:sz w:val="24"/>
              </w:rPr>
            </w:pPr>
            <w:r>
              <w:rPr>
                <w:rFonts w:ascii="Times New Roman" w:hAnsi="Times New Roman"/>
                <w:sz w:val="24"/>
              </w:rPr>
              <w:t xml:space="preserve">-выполнении тестовых заданий; </w:t>
            </w:r>
          </w:p>
          <w:p w14:paraId="8E06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8F060000">
            <w:pPr>
              <w:ind/>
              <w:jc w:val="both"/>
              <w:rPr>
                <w:rFonts w:ascii="Times New Roman" w:hAnsi="Times New Roman"/>
                <w:color w:val="000000"/>
                <w:sz w:val="24"/>
              </w:rPr>
            </w:pPr>
            <w:r>
              <w:rPr>
                <w:rFonts w:ascii="Times New Roman" w:hAnsi="Times New Roman"/>
                <w:color w:val="000000"/>
                <w:sz w:val="24"/>
              </w:rPr>
              <w:t xml:space="preserve">Решение практико-ориентированных (ситуационных) заданий. </w:t>
            </w:r>
          </w:p>
          <w:p w14:paraId="90060000">
            <w:pPr>
              <w:ind/>
              <w:jc w:val="both"/>
              <w:rPr>
                <w:rFonts w:ascii="Times New Roman" w:hAnsi="Times New Roman"/>
                <w:sz w:val="24"/>
              </w:rPr>
            </w:pPr>
            <w:r>
              <w:rPr>
                <w:rFonts w:ascii="Times New Roman" w:hAnsi="Times New Roman"/>
                <w:sz w:val="24"/>
              </w:rPr>
              <w:t>Защита отчетов</w:t>
            </w:r>
            <w:r>
              <w:rPr>
                <w:rFonts w:ascii="Times New Roman" w:hAnsi="Times New Roman"/>
                <w:sz w:val="24"/>
              </w:rPr>
              <w:t xml:space="preserve"> по учебной и производственной практике. </w:t>
            </w:r>
          </w:p>
          <w:p w14:paraId="91060000">
            <w:pPr>
              <w:ind/>
              <w:jc w:val="both"/>
              <w:rPr>
                <w:rFonts w:ascii="Times New Roman" w:hAnsi="Times New Roman"/>
                <w:i w:val="1"/>
                <w:sz w:val="24"/>
              </w:rPr>
            </w:pPr>
            <w:r>
              <w:rPr>
                <w:rFonts w:ascii="Times New Roman" w:hAnsi="Times New Roman"/>
                <w:sz w:val="24"/>
              </w:rPr>
              <w:t>Экзамен по профессиональному модулю</w:t>
            </w:r>
          </w:p>
        </w:tc>
      </w:tr>
      <w:tr>
        <w:trPr>
          <w:trHeight w:hRule="atLeast" w:val="698"/>
        </w:trPr>
        <w:tc>
          <w:tcPr>
            <w:tcW w:type="dxa" w:w="1163"/>
            <w:tcBorders>
              <w:top w:color="000000" w:sz="4" w:val="single"/>
              <w:left w:color="000000" w:sz="4" w:val="single"/>
              <w:bottom w:color="000000" w:sz="4" w:val="single"/>
              <w:right w:color="000000" w:sz="4" w:val="single"/>
            </w:tcBorders>
          </w:tcPr>
          <w:p w14:paraId="92060000">
            <w:pPr>
              <w:ind/>
              <w:jc w:val="both"/>
              <w:rPr>
                <w:rFonts w:ascii="Times New Roman" w:hAnsi="Times New Roman"/>
                <w:i w:val="1"/>
                <w:sz w:val="24"/>
              </w:rPr>
            </w:pPr>
            <w:r>
              <w:rPr>
                <w:rFonts w:ascii="Times New Roman" w:hAnsi="Times New Roman"/>
                <w:sz w:val="24"/>
              </w:rPr>
              <w:t xml:space="preserve">ПК.2.2 </w:t>
            </w:r>
          </w:p>
        </w:tc>
        <w:tc>
          <w:tcPr>
            <w:tcW w:type="dxa" w:w="4110"/>
            <w:tcBorders>
              <w:top w:color="000000" w:sz="4" w:val="single"/>
              <w:left w:color="000000" w:sz="4" w:val="single"/>
              <w:bottom w:color="000000" w:sz="4" w:val="single"/>
              <w:right w:color="000000" w:sz="4" w:val="single"/>
            </w:tcBorders>
          </w:tcPr>
          <w:p w14:paraId="93060000">
            <w:pPr>
              <w:ind/>
              <w:jc w:val="both"/>
              <w:rPr>
                <w:rFonts w:ascii="Times New Roman" w:hAnsi="Times New Roman"/>
                <w:color w:val="000000"/>
                <w:sz w:val="24"/>
              </w:rPr>
            </w:pPr>
            <w:r>
              <w:rPr>
                <w:rFonts w:ascii="Times New Roman" w:hAnsi="Times New Roman"/>
                <w:color w:val="000000"/>
                <w:sz w:val="24"/>
              </w:rPr>
              <w:t xml:space="preserve">Владение методикой: </w:t>
            </w:r>
          </w:p>
          <w:p w14:paraId="94060000">
            <w:pPr>
              <w:ind/>
              <w:jc w:val="both"/>
              <w:rPr>
                <w:rFonts w:ascii="Times New Roman" w:hAnsi="Times New Roman"/>
                <w:sz w:val="24"/>
              </w:rPr>
            </w:pPr>
            <w:r>
              <w:rPr>
                <w:rFonts w:ascii="Times New Roman" w:hAnsi="Times New Roman"/>
                <w:sz w:val="24"/>
              </w:rPr>
              <w:t>- формирования числовых показателей отчетов, входящих в состав бухгалтерской (финансовой) отчетности;</w:t>
            </w:r>
          </w:p>
          <w:p w14:paraId="95060000">
            <w:pPr>
              <w:ind/>
              <w:jc w:val="both"/>
              <w:rPr>
                <w:rFonts w:ascii="Times New Roman" w:hAnsi="Times New Roman"/>
                <w:sz w:val="24"/>
              </w:rPr>
            </w:pPr>
            <w:r>
              <w:rPr>
                <w:rFonts w:ascii="Times New Roman" w:hAnsi="Times New Roman"/>
                <w:sz w:val="24"/>
              </w:rPr>
              <w:t>- счетной и логической проверки правильности формирования числовых показателей отчетов, входящих в состав бухгалтерской (финансовой) отчетности;</w:t>
            </w:r>
          </w:p>
          <w:p w14:paraId="96060000">
            <w:pPr>
              <w:ind/>
              <w:jc w:val="both"/>
              <w:rPr>
                <w:rFonts w:ascii="Times New Roman" w:hAnsi="Times New Roman"/>
                <w:sz w:val="24"/>
              </w:rPr>
            </w:pPr>
            <w:r>
              <w:rPr>
                <w:rFonts w:ascii="Times New Roman" w:hAnsi="Times New Roman"/>
                <w:sz w:val="24"/>
              </w:rPr>
              <w:t>- формирования пояснений к бухгалтерскому балансу и отчету о финансовых результатах;</w:t>
            </w:r>
          </w:p>
          <w:p w14:paraId="97060000">
            <w:pPr>
              <w:ind/>
              <w:jc w:val="both"/>
              <w:rPr>
                <w:rFonts w:ascii="Times New Roman" w:hAnsi="Times New Roman"/>
                <w:sz w:val="24"/>
              </w:rPr>
            </w:pPr>
            <w:r>
              <w:rPr>
                <w:rFonts w:ascii="Times New Roman" w:hAnsi="Times New Roman"/>
                <w:sz w:val="24"/>
              </w:rPr>
              <w:t>- обеспечения ознакомления, согласования и подписания руководителем экономического субъекта бухгалтерской (финансовой) отчетности;</w:t>
            </w:r>
          </w:p>
          <w:p w14:paraId="98060000">
            <w:pPr>
              <w:ind/>
              <w:jc w:val="both"/>
              <w:rPr>
                <w:rFonts w:ascii="Times New Roman" w:hAnsi="Times New Roman"/>
                <w:sz w:val="24"/>
              </w:rPr>
            </w:pPr>
            <w:r>
              <w:rPr>
                <w:rFonts w:ascii="Times New Roman" w:hAnsi="Times New Roman"/>
                <w:sz w:val="24"/>
              </w:rPr>
              <w:t>- организации передачи бухгалтерской (финансовой) отчетности в архив в установленные сроки;</w:t>
            </w:r>
          </w:p>
          <w:p w14:paraId="99060000">
            <w:pPr>
              <w:ind/>
              <w:jc w:val="both"/>
              <w:rPr>
                <w:rFonts w:ascii="Times New Roman" w:hAnsi="Times New Roman"/>
                <w:sz w:val="24"/>
              </w:rPr>
            </w:pPr>
            <w:r>
              <w:rPr>
                <w:rFonts w:ascii="Times New Roman" w:hAnsi="Times New Roman"/>
                <w:sz w:val="24"/>
              </w:rPr>
              <w:t>- составления налоговых расчетов и деклараций в экономическом субъекте;</w:t>
            </w:r>
          </w:p>
          <w:p w14:paraId="9A060000">
            <w:pPr>
              <w:ind/>
              <w:jc w:val="both"/>
              <w:rPr>
                <w:rFonts w:ascii="Times New Roman" w:hAnsi="Times New Roman"/>
                <w:sz w:val="24"/>
              </w:rPr>
            </w:pPr>
            <w:r>
              <w:rPr>
                <w:rFonts w:ascii="Times New Roman" w:hAnsi="Times New Roman"/>
                <w:sz w:val="24"/>
              </w:rPr>
              <w:t xml:space="preserve">- обеспечения представления налоговых расчетов и деклараций, отчетности в государственные органы </w:t>
            </w:r>
            <w:r>
              <w:rPr>
                <w:rFonts w:ascii="Times New Roman" w:hAnsi="Times New Roman"/>
                <w:sz w:val="24"/>
              </w:rPr>
              <w:t>в надлежащие адреса и в установленные сроки;</w:t>
            </w:r>
          </w:p>
          <w:p w14:paraId="9B060000">
            <w:pPr>
              <w:ind/>
              <w:jc w:val="both"/>
              <w:rPr>
                <w:rFonts w:ascii="Times New Roman" w:hAnsi="Times New Roman"/>
                <w:i w:val="1"/>
                <w:sz w:val="24"/>
              </w:rPr>
            </w:pPr>
            <w:r>
              <w:rPr>
                <w:rFonts w:ascii="Times New Roman" w:hAnsi="Times New Roman"/>
                <w:sz w:val="24"/>
              </w:rPr>
              <w:t>- обеспечения сохранности бухгалтерской (финансовой) отчетности и регистров налогового учета, налоговых расчетов и деклараций, отчетности в государственные органы и последующей их передачи в архив</w:t>
            </w:r>
          </w:p>
        </w:tc>
        <w:tc>
          <w:tcPr>
            <w:tcW w:type="dxa" w:w="3969"/>
            <w:tcBorders>
              <w:top w:color="000000" w:sz="4" w:val="single"/>
              <w:left w:color="000000" w:sz="4" w:val="single"/>
              <w:bottom w:color="000000" w:sz="4" w:val="single"/>
              <w:right w:color="000000" w:sz="4" w:val="single"/>
            </w:tcBorders>
          </w:tcPr>
          <w:p w14:paraId="9C06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9D06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9E06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9F060000">
            <w:pPr>
              <w:ind/>
              <w:jc w:val="both"/>
              <w:rPr>
                <w:rFonts w:ascii="Times New Roman" w:hAnsi="Times New Roman"/>
                <w:sz w:val="24"/>
              </w:rPr>
            </w:pPr>
            <w:r>
              <w:rPr>
                <w:rFonts w:ascii="Times New Roman" w:hAnsi="Times New Roman"/>
                <w:sz w:val="24"/>
              </w:rPr>
              <w:t xml:space="preserve">-выполнении тестовых заданий; </w:t>
            </w:r>
          </w:p>
          <w:p w14:paraId="A006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A1060000">
            <w:pPr>
              <w:ind/>
              <w:jc w:val="both"/>
              <w:rPr>
                <w:rFonts w:ascii="Times New Roman" w:hAnsi="Times New Roman"/>
                <w:color w:val="000000"/>
                <w:sz w:val="24"/>
              </w:rPr>
            </w:pPr>
            <w:r>
              <w:rPr>
                <w:rFonts w:ascii="Times New Roman" w:hAnsi="Times New Roman"/>
                <w:color w:val="000000"/>
                <w:sz w:val="24"/>
              </w:rPr>
              <w:t xml:space="preserve">Решение практико-ориентированных (ситуационных) заданий. </w:t>
            </w:r>
          </w:p>
          <w:p w14:paraId="A2060000">
            <w:pPr>
              <w:ind/>
              <w:jc w:val="both"/>
              <w:rPr>
                <w:rFonts w:ascii="Times New Roman" w:hAnsi="Times New Roman"/>
                <w:sz w:val="24"/>
              </w:rPr>
            </w:pPr>
            <w:r>
              <w:rPr>
                <w:rFonts w:ascii="Times New Roman" w:hAnsi="Times New Roman"/>
                <w:sz w:val="24"/>
              </w:rPr>
              <w:t>Защита отчетов</w:t>
            </w:r>
            <w:r>
              <w:rPr>
                <w:rFonts w:ascii="Times New Roman" w:hAnsi="Times New Roman"/>
                <w:sz w:val="24"/>
              </w:rPr>
              <w:t xml:space="preserve"> по учебной и производственной практике. </w:t>
            </w:r>
          </w:p>
          <w:p w14:paraId="A3060000">
            <w:pPr>
              <w:ind/>
              <w:jc w:val="both"/>
              <w:rPr>
                <w:rFonts w:ascii="Times New Roman" w:hAnsi="Times New Roman"/>
                <w:i w:val="1"/>
                <w:sz w:val="24"/>
              </w:rPr>
            </w:pPr>
            <w:r>
              <w:rPr>
                <w:rFonts w:ascii="Times New Roman" w:hAnsi="Times New Roman"/>
                <w:sz w:val="24"/>
              </w:rPr>
              <w:t>Экзамен по профессиональному модулю</w:t>
            </w:r>
          </w:p>
        </w:tc>
      </w:tr>
      <w:tr>
        <w:trPr>
          <w:trHeight w:hRule="atLeast" w:val="698"/>
        </w:trPr>
        <w:tc>
          <w:tcPr>
            <w:tcW w:type="dxa" w:w="1163"/>
            <w:tcBorders>
              <w:top w:color="000000" w:sz="4" w:val="single"/>
              <w:left w:color="000000" w:sz="4" w:val="single"/>
              <w:bottom w:color="000000" w:sz="4" w:val="single"/>
              <w:right w:color="000000" w:sz="4" w:val="single"/>
            </w:tcBorders>
          </w:tcPr>
          <w:p w14:paraId="A4060000">
            <w:pPr>
              <w:ind/>
              <w:jc w:val="both"/>
              <w:rPr>
                <w:rFonts w:ascii="Times New Roman" w:hAnsi="Times New Roman"/>
                <w:sz w:val="24"/>
              </w:rPr>
            </w:pPr>
            <w:r>
              <w:rPr>
                <w:rFonts w:ascii="Times New Roman" w:hAnsi="Times New Roman"/>
                <w:sz w:val="24"/>
              </w:rPr>
              <w:t xml:space="preserve">ПК.2.3 </w:t>
            </w:r>
          </w:p>
        </w:tc>
        <w:tc>
          <w:tcPr>
            <w:tcW w:type="dxa" w:w="4110"/>
            <w:tcBorders>
              <w:top w:color="000000" w:sz="4" w:val="single"/>
              <w:left w:color="000000" w:sz="4" w:val="single"/>
              <w:bottom w:color="000000" w:sz="4" w:val="single"/>
              <w:right w:color="000000" w:sz="4" w:val="single"/>
            </w:tcBorders>
          </w:tcPr>
          <w:p w14:paraId="A5060000">
            <w:pPr>
              <w:ind/>
              <w:jc w:val="both"/>
              <w:rPr>
                <w:rFonts w:ascii="Times New Roman" w:hAnsi="Times New Roman"/>
                <w:color w:val="000000"/>
                <w:spacing w:val="-2"/>
                <w:sz w:val="24"/>
              </w:rPr>
            </w:pPr>
            <w:r>
              <w:rPr>
                <w:rFonts w:ascii="Times New Roman" w:hAnsi="Times New Roman"/>
                <w:color w:val="000000"/>
                <w:spacing w:val="-2"/>
                <w:sz w:val="24"/>
              </w:rPr>
              <w:t xml:space="preserve">Владение методикой: </w:t>
            </w:r>
          </w:p>
          <w:p w14:paraId="A6060000">
            <w:pPr>
              <w:ind/>
              <w:jc w:val="both"/>
              <w:rPr>
                <w:rFonts w:ascii="Times New Roman" w:hAnsi="Times New Roman"/>
                <w:color w:val="000000"/>
                <w:spacing w:val="-2"/>
                <w:sz w:val="24"/>
              </w:rPr>
            </w:pPr>
            <w:r>
              <w:rPr>
                <w:rFonts w:ascii="Times New Roman" w:hAnsi="Times New Roman"/>
                <w:color w:val="000000"/>
                <w:spacing w:val="-2"/>
                <w:sz w:val="24"/>
              </w:rPr>
              <w:t>- осуществления внутреннего контроля ведения бухгалтерского учета и составления бухгалтерской (финансовой) отчетности экономического субъекта;</w:t>
            </w:r>
          </w:p>
          <w:p w14:paraId="A7060000">
            <w:pPr>
              <w:ind/>
              <w:jc w:val="both"/>
              <w:rPr>
                <w:rFonts w:ascii="Times New Roman" w:hAnsi="Times New Roman"/>
                <w:color w:val="000000"/>
                <w:spacing w:val="-2"/>
                <w:sz w:val="24"/>
              </w:rPr>
            </w:pPr>
            <w:r>
              <w:rPr>
                <w:rFonts w:ascii="Times New Roman" w:hAnsi="Times New Roman"/>
                <w:color w:val="000000"/>
                <w:spacing w:val="-2"/>
                <w:sz w:val="24"/>
              </w:rPr>
              <w:t>- обеспечения необходимыми документами бухгалтерского учета процессов внутреннего контроля, государственного (муниципального) финансового контроля, внутреннего и внешнего аудита, ревизий, налоговых и иных проверок, подготовка документов о разногласиях по результатам государственного (муниципального) финансового контроля, аудита, ревизий, налоговых и иных проверок;</w:t>
            </w:r>
          </w:p>
          <w:p w14:paraId="A8060000">
            <w:pPr>
              <w:ind/>
              <w:jc w:val="both"/>
              <w:rPr>
                <w:rFonts w:ascii="Times New Roman" w:hAnsi="Times New Roman"/>
                <w:color w:val="000000"/>
                <w:spacing w:val="-2"/>
                <w:sz w:val="24"/>
              </w:rPr>
            </w:pPr>
            <w:r>
              <w:rPr>
                <w:rFonts w:ascii="Times New Roman" w:hAnsi="Times New Roman"/>
                <w:color w:val="000000"/>
                <w:spacing w:val="-2"/>
                <w:sz w:val="24"/>
              </w:rPr>
              <w:t>- проверки обоснованности первичных учетных документов, которыми оформлены факты хозяйственной жизни, логическая увязка отдельных показателей; проверка качества ведения регистров бухгалтерского учета и составления бухгалтерской (финансовой) отчетности;</w:t>
            </w:r>
          </w:p>
          <w:p w14:paraId="A9060000">
            <w:pPr>
              <w:ind/>
              <w:jc w:val="both"/>
              <w:rPr>
                <w:rFonts w:ascii="Times New Roman" w:hAnsi="Times New Roman"/>
                <w:color w:val="000000"/>
                <w:spacing w:val="-2"/>
                <w:sz w:val="24"/>
              </w:rPr>
            </w:pPr>
            <w:r>
              <w:rPr>
                <w:rFonts w:ascii="Times New Roman" w:hAnsi="Times New Roman"/>
                <w:color w:val="000000"/>
                <w:spacing w:val="-2"/>
                <w:sz w:val="24"/>
              </w:rPr>
              <w:t>- проверки качества бухгалтерской (финансовой) отчетности обособленных подразделений; экономического субъекта</w:t>
            </w:r>
          </w:p>
          <w:p w14:paraId="AA060000">
            <w:pPr>
              <w:ind/>
              <w:jc w:val="both"/>
              <w:rPr>
                <w:rFonts w:ascii="Times New Roman" w:hAnsi="Times New Roman"/>
                <w:color w:val="000000"/>
                <w:spacing w:val="-2"/>
                <w:sz w:val="24"/>
              </w:rPr>
            </w:pPr>
            <w:r>
              <w:rPr>
                <w:rFonts w:ascii="Times New Roman" w:hAnsi="Times New Roman"/>
                <w:color w:val="000000"/>
                <w:spacing w:val="-2"/>
                <w:sz w:val="24"/>
              </w:rPr>
              <w:t>- ознакомления с информацией о деятельности аудируемого лица и среде, в которой она осуществляется, включая систему внутреннего контроля;</w:t>
            </w:r>
          </w:p>
          <w:p w14:paraId="AB060000">
            <w:pPr>
              <w:ind/>
              <w:jc w:val="both"/>
              <w:rPr>
                <w:rFonts w:ascii="Times New Roman" w:hAnsi="Times New Roman"/>
                <w:color w:val="000000"/>
                <w:spacing w:val="-2"/>
                <w:sz w:val="24"/>
              </w:rPr>
            </w:pPr>
            <w:r>
              <w:rPr>
                <w:rFonts w:ascii="Times New Roman" w:hAnsi="Times New Roman"/>
                <w:color w:val="000000"/>
                <w:spacing w:val="-2"/>
                <w:sz w:val="24"/>
              </w:rPr>
              <w:t>- выполнение отдельных аудиторских процедур (действий);</w:t>
            </w:r>
          </w:p>
          <w:p w14:paraId="AC060000">
            <w:pPr>
              <w:ind/>
              <w:jc w:val="both"/>
              <w:rPr>
                <w:rFonts w:ascii="Times New Roman" w:hAnsi="Times New Roman"/>
                <w:color w:val="000000"/>
                <w:spacing w:val="-2"/>
                <w:sz w:val="24"/>
              </w:rPr>
            </w:pPr>
            <w:r>
              <w:rPr>
                <w:rFonts w:ascii="Times New Roman" w:hAnsi="Times New Roman"/>
                <w:color w:val="000000"/>
                <w:spacing w:val="-2"/>
                <w:sz w:val="24"/>
              </w:rPr>
              <w:t>- выполнение операций при оказании сопутствующих аудиту услуг;</w:t>
            </w:r>
          </w:p>
          <w:p w14:paraId="AD060000">
            <w:pPr>
              <w:ind/>
              <w:jc w:val="both"/>
              <w:rPr>
                <w:rFonts w:ascii="Times New Roman" w:hAnsi="Times New Roman"/>
                <w:color w:val="000000"/>
                <w:spacing w:val="-2"/>
                <w:sz w:val="24"/>
              </w:rPr>
            </w:pPr>
            <w:r>
              <w:rPr>
                <w:rFonts w:ascii="Times New Roman" w:hAnsi="Times New Roman"/>
                <w:color w:val="000000"/>
                <w:spacing w:val="-2"/>
                <w:sz w:val="24"/>
              </w:rPr>
              <w:t>- выполнение операций при оказании прочих услуг, связанных с аудиторской деятельностью;</w:t>
            </w:r>
          </w:p>
          <w:p w14:paraId="AE060000">
            <w:pPr>
              <w:ind/>
              <w:jc w:val="both"/>
              <w:rPr>
                <w:rFonts w:ascii="Times New Roman" w:hAnsi="Times New Roman"/>
                <w:i w:val="1"/>
                <w:color w:val="000000"/>
                <w:sz w:val="24"/>
              </w:rPr>
            </w:pPr>
            <w:r>
              <w:rPr>
                <w:rFonts w:ascii="Times New Roman" w:hAnsi="Times New Roman"/>
                <w:color w:val="000000"/>
                <w:spacing w:val="-2"/>
                <w:sz w:val="24"/>
              </w:rPr>
              <w:t>- документирование результатов выполненных аудиторских процедур и полученных аудиторских доказательств</w:t>
            </w:r>
          </w:p>
        </w:tc>
        <w:tc>
          <w:tcPr>
            <w:tcW w:type="dxa" w:w="3969"/>
            <w:tcBorders>
              <w:top w:color="000000" w:sz="4" w:val="single"/>
              <w:left w:color="000000" w:sz="4" w:val="single"/>
              <w:bottom w:color="000000" w:sz="4" w:val="single"/>
              <w:right w:color="000000" w:sz="4" w:val="single"/>
            </w:tcBorders>
          </w:tcPr>
          <w:p w14:paraId="AF06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B006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B106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B2060000">
            <w:pPr>
              <w:ind/>
              <w:jc w:val="both"/>
              <w:rPr>
                <w:rFonts w:ascii="Times New Roman" w:hAnsi="Times New Roman"/>
                <w:sz w:val="24"/>
              </w:rPr>
            </w:pPr>
            <w:r>
              <w:rPr>
                <w:rFonts w:ascii="Times New Roman" w:hAnsi="Times New Roman"/>
                <w:sz w:val="24"/>
              </w:rPr>
              <w:t xml:space="preserve">-выполнении тестовых заданий; </w:t>
            </w:r>
          </w:p>
          <w:p w14:paraId="B306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B4060000">
            <w:pPr>
              <w:ind/>
              <w:jc w:val="both"/>
              <w:rPr>
                <w:rFonts w:ascii="Times New Roman" w:hAnsi="Times New Roman"/>
                <w:color w:val="000000"/>
                <w:sz w:val="24"/>
              </w:rPr>
            </w:pPr>
            <w:r>
              <w:rPr>
                <w:rFonts w:ascii="Times New Roman" w:hAnsi="Times New Roman"/>
                <w:color w:val="000000"/>
                <w:sz w:val="24"/>
              </w:rPr>
              <w:t xml:space="preserve">Решение практико-ориентированных (ситуационных) заданий. </w:t>
            </w:r>
          </w:p>
          <w:p w14:paraId="B5060000">
            <w:pPr>
              <w:ind/>
              <w:jc w:val="both"/>
              <w:rPr>
                <w:rFonts w:ascii="Times New Roman" w:hAnsi="Times New Roman"/>
                <w:sz w:val="24"/>
              </w:rPr>
            </w:pPr>
            <w:r>
              <w:rPr>
                <w:rFonts w:ascii="Times New Roman" w:hAnsi="Times New Roman"/>
                <w:sz w:val="24"/>
              </w:rPr>
              <w:t>Защита отчетов</w:t>
            </w:r>
            <w:r>
              <w:rPr>
                <w:rFonts w:ascii="Times New Roman" w:hAnsi="Times New Roman"/>
                <w:sz w:val="24"/>
              </w:rPr>
              <w:t xml:space="preserve"> по учебной и производственной практике. </w:t>
            </w:r>
          </w:p>
          <w:p w14:paraId="B6060000">
            <w:pPr>
              <w:ind/>
              <w:jc w:val="both"/>
              <w:rPr>
                <w:rFonts w:ascii="Times New Roman" w:hAnsi="Times New Roman"/>
                <w:i w:val="1"/>
                <w:sz w:val="24"/>
              </w:rPr>
            </w:pPr>
            <w:r>
              <w:rPr>
                <w:rFonts w:ascii="Times New Roman" w:hAnsi="Times New Roman"/>
                <w:sz w:val="24"/>
              </w:rPr>
              <w:t>Экзамен по профессиональному модулю</w:t>
            </w:r>
          </w:p>
        </w:tc>
      </w:tr>
      <w:tr>
        <w:trPr>
          <w:trHeight w:hRule="atLeast" w:val="698"/>
        </w:trPr>
        <w:tc>
          <w:tcPr>
            <w:tcW w:type="dxa" w:w="1163"/>
            <w:tcBorders>
              <w:top w:color="000000" w:sz="4" w:val="single"/>
              <w:left w:color="000000" w:sz="4" w:val="single"/>
              <w:bottom w:color="000000" w:sz="4" w:val="single"/>
              <w:right w:color="000000" w:sz="4" w:val="single"/>
            </w:tcBorders>
          </w:tcPr>
          <w:p w14:paraId="B7060000">
            <w:pPr>
              <w:ind/>
              <w:jc w:val="both"/>
              <w:rPr>
                <w:rFonts w:ascii="Times New Roman" w:hAnsi="Times New Roman"/>
                <w:sz w:val="24"/>
              </w:rPr>
            </w:pPr>
            <w:r>
              <w:rPr>
                <w:rFonts w:ascii="Times New Roman" w:hAnsi="Times New Roman"/>
                <w:sz w:val="24"/>
              </w:rPr>
              <w:t xml:space="preserve">ПК 2.4 </w:t>
            </w:r>
          </w:p>
        </w:tc>
        <w:tc>
          <w:tcPr>
            <w:tcW w:type="dxa" w:w="4110"/>
            <w:tcBorders>
              <w:top w:color="000000" w:sz="4" w:val="single"/>
              <w:left w:color="000000" w:sz="4" w:val="single"/>
              <w:bottom w:color="000000" w:sz="4" w:val="single"/>
              <w:right w:color="000000" w:sz="4" w:val="single"/>
            </w:tcBorders>
          </w:tcPr>
          <w:p w14:paraId="B8060000">
            <w:pPr>
              <w:ind/>
              <w:jc w:val="both"/>
              <w:rPr>
                <w:rFonts w:ascii="Times New Roman" w:hAnsi="Times New Roman"/>
                <w:color w:val="000000"/>
                <w:sz w:val="24"/>
              </w:rPr>
            </w:pPr>
            <w:r>
              <w:rPr>
                <w:rFonts w:ascii="Times New Roman" w:hAnsi="Times New Roman"/>
                <w:color w:val="000000"/>
                <w:sz w:val="24"/>
              </w:rPr>
              <w:t xml:space="preserve">Владение методикой: </w:t>
            </w:r>
          </w:p>
          <w:p w14:paraId="B9060000">
            <w:pPr>
              <w:ind/>
              <w:jc w:val="both"/>
              <w:rPr>
                <w:rFonts w:ascii="Times New Roman" w:hAnsi="Times New Roman"/>
                <w:i w:val="1"/>
                <w:sz w:val="24"/>
              </w:rPr>
            </w:pPr>
            <w:r>
              <w:rPr>
                <w:rFonts w:ascii="Times New Roman" w:hAnsi="Times New Roman"/>
                <w:sz w:val="24"/>
              </w:rPr>
              <w:t>осуществления работ по финансовому анализу экономического субъекта</w:t>
            </w:r>
          </w:p>
        </w:tc>
        <w:tc>
          <w:tcPr>
            <w:tcW w:type="dxa" w:w="3969"/>
            <w:tcBorders>
              <w:top w:color="000000" w:sz="4" w:val="single"/>
              <w:left w:color="000000" w:sz="4" w:val="single"/>
              <w:bottom w:color="000000" w:sz="4" w:val="single"/>
              <w:right w:color="000000" w:sz="4" w:val="single"/>
            </w:tcBorders>
          </w:tcPr>
          <w:p w14:paraId="BA060000">
            <w:pPr>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BB060000">
            <w:pPr>
              <w:rPr>
                <w:rFonts w:ascii="Times New Roman" w:hAnsi="Times New Roman"/>
                <w:sz w:val="24"/>
              </w:rPr>
            </w:pPr>
            <w:r>
              <w:rPr>
                <w:rFonts w:ascii="Times New Roman" w:hAnsi="Times New Roman"/>
                <w:sz w:val="24"/>
              </w:rPr>
              <w:t xml:space="preserve">-проведении устного и письменного опроса; </w:t>
            </w:r>
          </w:p>
          <w:p w14:paraId="BC060000">
            <w:pPr>
              <w:rPr>
                <w:rFonts w:ascii="Times New Roman" w:hAnsi="Times New Roman"/>
                <w:sz w:val="24"/>
              </w:rPr>
            </w:pPr>
            <w:r>
              <w:rPr>
                <w:rFonts w:ascii="Times New Roman" w:hAnsi="Times New Roman"/>
                <w:sz w:val="24"/>
              </w:rPr>
              <w:t xml:space="preserve">-выполнении практических занятий; </w:t>
            </w:r>
          </w:p>
          <w:p w14:paraId="BD060000">
            <w:pPr>
              <w:rPr>
                <w:rFonts w:ascii="Times New Roman" w:hAnsi="Times New Roman"/>
                <w:sz w:val="24"/>
              </w:rPr>
            </w:pPr>
            <w:r>
              <w:rPr>
                <w:rFonts w:ascii="Times New Roman" w:hAnsi="Times New Roman"/>
                <w:sz w:val="24"/>
              </w:rPr>
              <w:t xml:space="preserve">-выполнении тестовых заданий; </w:t>
            </w:r>
          </w:p>
          <w:p w14:paraId="BE060000">
            <w:pPr>
              <w:rPr>
                <w:rFonts w:ascii="Times New Roman" w:hAnsi="Times New Roman"/>
                <w:sz w:val="24"/>
              </w:rPr>
            </w:pPr>
            <w:r>
              <w:rPr>
                <w:rFonts w:ascii="Times New Roman" w:hAnsi="Times New Roman"/>
                <w:sz w:val="24"/>
              </w:rPr>
              <w:t xml:space="preserve">-выполнении контрольных работ по темам. </w:t>
            </w:r>
          </w:p>
          <w:p w14:paraId="BF060000">
            <w:pPr>
              <w:ind/>
              <w:jc w:val="both"/>
              <w:rPr>
                <w:rFonts w:ascii="Times New Roman" w:hAnsi="Times New Roman"/>
                <w:color w:val="000000"/>
                <w:sz w:val="24"/>
              </w:rPr>
            </w:pPr>
            <w:r>
              <w:rPr>
                <w:rFonts w:ascii="Times New Roman" w:hAnsi="Times New Roman"/>
                <w:color w:val="000000"/>
                <w:sz w:val="24"/>
              </w:rPr>
              <w:t xml:space="preserve">Решение практико-ориентированных (ситуационных) заданий. </w:t>
            </w:r>
          </w:p>
          <w:p w14:paraId="C0060000">
            <w:pPr>
              <w:ind/>
              <w:jc w:val="both"/>
              <w:rPr>
                <w:rFonts w:ascii="Times New Roman" w:hAnsi="Times New Roman"/>
                <w:i w:val="1"/>
                <w:sz w:val="24"/>
              </w:rPr>
            </w:pPr>
            <w:r>
              <w:rPr>
                <w:rFonts w:ascii="Times New Roman" w:hAnsi="Times New Roman"/>
                <w:sz w:val="24"/>
              </w:rPr>
              <w:t>Экзамен по профессиональному модулю</w:t>
            </w:r>
          </w:p>
        </w:tc>
      </w:tr>
      <w:tr>
        <w:trPr>
          <w:trHeight w:hRule="atLeast" w:val="698"/>
        </w:trPr>
        <w:tc>
          <w:tcPr>
            <w:tcW w:type="dxa" w:w="1163"/>
            <w:tcBorders>
              <w:top w:color="000000" w:sz="4" w:val="single"/>
              <w:left w:color="000000" w:sz="4" w:val="single"/>
              <w:bottom w:color="000000" w:sz="4" w:val="single"/>
              <w:right w:color="000000" w:sz="4" w:val="single"/>
            </w:tcBorders>
          </w:tcPr>
          <w:p w14:paraId="C1060000">
            <w:pPr>
              <w:ind/>
              <w:jc w:val="both"/>
              <w:rPr>
                <w:rFonts w:ascii="Times New Roman" w:hAnsi="Times New Roman"/>
                <w:sz w:val="24"/>
              </w:rPr>
            </w:pPr>
            <w:r>
              <w:rPr>
                <w:rFonts w:ascii="Times New Roman" w:hAnsi="Times New Roman"/>
                <w:sz w:val="24"/>
              </w:rPr>
              <w:t xml:space="preserve">ПК.2.5 </w:t>
            </w:r>
          </w:p>
        </w:tc>
        <w:tc>
          <w:tcPr>
            <w:tcW w:type="dxa" w:w="4110"/>
            <w:tcBorders>
              <w:top w:color="000000" w:sz="4" w:val="single"/>
              <w:left w:color="000000" w:sz="4" w:val="single"/>
              <w:bottom w:color="000000" w:sz="4" w:val="single"/>
              <w:right w:color="000000" w:sz="4" w:val="single"/>
            </w:tcBorders>
          </w:tcPr>
          <w:p w14:paraId="C2060000">
            <w:pPr>
              <w:ind/>
              <w:jc w:val="both"/>
              <w:rPr>
                <w:rFonts w:ascii="Times New Roman" w:hAnsi="Times New Roman"/>
                <w:color w:val="000000"/>
                <w:sz w:val="24"/>
              </w:rPr>
            </w:pPr>
            <w:r>
              <w:rPr>
                <w:rFonts w:ascii="Times New Roman" w:hAnsi="Times New Roman"/>
                <w:color w:val="000000"/>
                <w:sz w:val="24"/>
              </w:rPr>
              <w:t xml:space="preserve">Владение методикой: </w:t>
            </w:r>
          </w:p>
          <w:p w14:paraId="C3060000">
            <w:pPr>
              <w:ind/>
              <w:jc w:val="both"/>
              <w:rPr>
                <w:rFonts w:ascii="Times New Roman" w:hAnsi="Times New Roman"/>
                <w:sz w:val="24"/>
              </w:rPr>
            </w:pPr>
            <w:r>
              <w:rPr>
                <w:rFonts w:ascii="Times New Roman" w:hAnsi="Times New Roman"/>
                <w:sz w:val="24"/>
              </w:rPr>
              <w:t>- выполнения работ по определению финансовой модели бизнес-плана;</w:t>
            </w:r>
          </w:p>
          <w:p w14:paraId="C4060000">
            <w:pPr>
              <w:ind/>
              <w:jc w:val="both"/>
              <w:rPr>
                <w:rFonts w:ascii="Times New Roman" w:hAnsi="Times New Roman"/>
                <w:i w:val="1"/>
                <w:sz w:val="24"/>
              </w:rPr>
            </w:pPr>
            <w:r>
              <w:rPr>
                <w:rFonts w:ascii="Times New Roman" w:hAnsi="Times New Roman"/>
                <w:sz w:val="24"/>
              </w:rPr>
              <w:t>- составления бизнес-плана</w:t>
            </w:r>
          </w:p>
        </w:tc>
        <w:tc>
          <w:tcPr>
            <w:tcW w:type="dxa" w:w="3969"/>
            <w:tcBorders>
              <w:top w:color="000000" w:sz="4" w:val="single"/>
              <w:left w:color="000000" w:sz="4" w:val="single"/>
              <w:bottom w:color="000000" w:sz="4" w:val="single"/>
              <w:right w:color="000000" w:sz="4" w:val="single"/>
            </w:tcBorders>
          </w:tcPr>
          <w:p w14:paraId="C5060000">
            <w:pPr>
              <w:ind/>
              <w:jc w:val="both"/>
              <w:rPr>
                <w:rFonts w:ascii="Times New Roman" w:hAnsi="Times New Roman"/>
                <w:sz w:val="24"/>
              </w:rPr>
            </w:pPr>
            <w:r>
              <w:rPr>
                <w:rFonts w:ascii="Times New Roman" w:hAnsi="Times New Roman"/>
                <w:sz w:val="24"/>
              </w:rPr>
              <w:t xml:space="preserve">Текущий контроль в форме экспертного наблюдения и проверки при: </w:t>
            </w:r>
          </w:p>
          <w:p w14:paraId="C6060000">
            <w:pPr>
              <w:ind/>
              <w:jc w:val="both"/>
              <w:rPr>
                <w:rFonts w:ascii="Times New Roman" w:hAnsi="Times New Roman"/>
                <w:sz w:val="24"/>
              </w:rPr>
            </w:pPr>
            <w:r>
              <w:rPr>
                <w:rFonts w:ascii="Times New Roman" w:hAnsi="Times New Roman"/>
                <w:sz w:val="24"/>
              </w:rPr>
              <w:t xml:space="preserve">-проведении устного и письменного опроса; </w:t>
            </w:r>
          </w:p>
          <w:p w14:paraId="C7060000">
            <w:pPr>
              <w:ind/>
              <w:jc w:val="both"/>
              <w:rPr>
                <w:rFonts w:ascii="Times New Roman" w:hAnsi="Times New Roman"/>
                <w:sz w:val="24"/>
              </w:rPr>
            </w:pPr>
            <w:r>
              <w:rPr>
                <w:rFonts w:ascii="Times New Roman" w:hAnsi="Times New Roman"/>
                <w:sz w:val="24"/>
              </w:rPr>
              <w:t xml:space="preserve">-выполнении практических занятий; </w:t>
            </w:r>
          </w:p>
          <w:p w14:paraId="C8060000">
            <w:pPr>
              <w:ind/>
              <w:jc w:val="both"/>
              <w:rPr>
                <w:rFonts w:ascii="Times New Roman" w:hAnsi="Times New Roman"/>
                <w:sz w:val="24"/>
              </w:rPr>
            </w:pPr>
            <w:r>
              <w:rPr>
                <w:rFonts w:ascii="Times New Roman" w:hAnsi="Times New Roman"/>
                <w:sz w:val="24"/>
              </w:rPr>
              <w:t xml:space="preserve">-выполнении тестовых заданий; </w:t>
            </w:r>
          </w:p>
          <w:p w14:paraId="C9060000">
            <w:pPr>
              <w:ind/>
              <w:jc w:val="both"/>
              <w:rPr>
                <w:rFonts w:ascii="Times New Roman" w:hAnsi="Times New Roman"/>
                <w:sz w:val="24"/>
              </w:rPr>
            </w:pPr>
            <w:r>
              <w:rPr>
                <w:rFonts w:ascii="Times New Roman" w:hAnsi="Times New Roman"/>
                <w:sz w:val="24"/>
              </w:rPr>
              <w:t xml:space="preserve">-выполнении контрольных работ по темам. </w:t>
            </w:r>
          </w:p>
          <w:p w14:paraId="CA060000">
            <w:pPr>
              <w:ind/>
              <w:jc w:val="both"/>
              <w:rPr>
                <w:rFonts w:ascii="Times New Roman" w:hAnsi="Times New Roman"/>
                <w:color w:val="000000"/>
                <w:sz w:val="24"/>
              </w:rPr>
            </w:pPr>
            <w:r>
              <w:rPr>
                <w:rFonts w:ascii="Times New Roman" w:hAnsi="Times New Roman"/>
                <w:color w:val="000000"/>
                <w:sz w:val="24"/>
              </w:rPr>
              <w:t xml:space="preserve">Решение практико-ориентированных (ситуационных) заданий. </w:t>
            </w:r>
          </w:p>
          <w:p w14:paraId="CB060000">
            <w:pPr>
              <w:ind/>
              <w:jc w:val="both"/>
              <w:rPr>
                <w:rFonts w:ascii="Times New Roman" w:hAnsi="Times New Roman"/>
                <w:i w:val="1"/>
                <w:sz w:val="24"/>
              </w:rPr>
            </w:pPr>
            <w:r>
              <w:rPr>
                <w:rFonts w:ascii="Times New Roman" w:hAnsi="Times New Roman"/>
                <w:sz w:val="24"/>
              </w:rPr>
              <w:t>Экзамен по профессиональному модулю</w:t>
            </w:r>
          </w:p>
        </w:tc>
      </w:tr>
    </w:tbl>
    <w:p w14:paraId="CC060000">
      <w:pPr>
        <w:rPr>
          <w:rFonts w:ascii="Times New Roman" w:hAnsi="Times New Roman"/>
          <w:b w:val="1"/>
          <w:sz w:val="18"/>
        </w:rPr>
      </w:pPr>
    </w:p>
    <w:p w14:paraId="CD060000">
      <w:pPr>
        <w:rPr>
          <w:rFonts w:ascii="Times New Roman" w:hAnsi="Times New Roman"/>
          <w:b w:val="1"/>
          <w:sz w:val="24"/>
        </w:rPr>
      </w:pPr>
    </w:p>
    <w:sectPr>
      <w:headerReference r:id="rId3" w:type="default"/>
      <w:headerReference r:id="rId2" w:type="even"/>
      <w:pgSz w:h="16838" w:orient="portrait" w:w="11906"/>
      <w:pgMar w:bottom="1134" w:footer="709" w:gutter="0" w:header="709" w:left="1701" w:right="567" w:top="1134"/>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r>
        <w:separator/>
      </w:r>
    </w:p>
  </w:endnote>
  <w:endnote w:id="0" w:type="continuationSeparator">
    <w:p>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CE060000">
      <w:pPr>
        <w:pStyle w:val="Style_181"/>
        <w:rPr>
          <w:i w:val="1"/>
        </w:rPr>
      </w:pPr>
      <w:r>
        <w:rPr>
          <w:i w:val="1"/>
          <w:vertAlign w:val="superscript"/>
        </w:rPr>
        <w:footnoteRef/>
      </w:r>
      <w:r>
        <w:t xml:space="preserve"> </w:t>
      </w:r>
      <w:r>
        <w:rPr>
          <w:i w:val="1"/>
        </w:rPr>
        <w:t>Берутся сведения, указанные по данному виду деятельности в п. 4.2.</w:t>
      </w:r>
    </w:p>
  </w:footnote>
  <w:footnote w:id="2">
    <w:p w14:paraId="CF060000">
      <w:pPr>
        <w:pStyle w:val="Style_181"/>
        <w:ind/>
        <w:jc w:val="both"/>
        <w:rPr>
          <w:sz w:val="18"/>
          <w:highlight w:val="red"/>
        </w:rPr>
      </w:pPr>
      <w:r>
        <w:rPr>
          <w:sz w:val="18"/>
          <w:highlight w:val="red"/>
          <w:vertAlign w:val="superscript"/>
        </w:rPr>
        <w:footnoteRef/>
      </w:r>
      <w:r>
        <w:rPr>
          <w:sz w:val="18"/>
        </w:rPr>
        <w:t xml:space="preserve"> </w:t>
      </w:r>
      <w:r>
        <w:rPr>
          <w:rStyle w:val="Style_9_ch"/>
          <w:sz w:val="18"/>
        </w:rPr>
        <w:t>Самостоятельная работа в рамках образовательной программы планируется образовательной организацией.</w:t>
      </w:r>
    </w:p>
  </w:footnote>
  <w:footnote w:id="3">
    <w:p w14:paraId="D0060000">
      <w:pPr>
        <w:pStyle w:val="Style_181"/>
      </w:pPr>
      <w:r>
        <w:rPr>
          <w:vertAlign w:val="superscript"/>
        </w:rPr>
        <w:footnoteRef/>
      </w:r>
      <w:r>
        <w:t xml:space="preserve"> </w:t>
      </w:r>
      <w:r>
        <w:rPr>
          <w:i w:val="1"/>
        </w:rPr>
        <w:t>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w:t>
      </w:r>
    </w:p>
  </w:footnote>
  <w:footnote w:id="4">
    <w:p w14:paraId="D1060000">
      <w:pPr>
        <w:pStyle w:val="Style_181"/>
        <w:ind/>
        <w:jc w:val="both"/>
      </w:pPr>
      <w:r>
        <w:rPr>
          <w:vertAlign w:val="superscript"/>
        </w:rPr>
        <w:footnoteRef/>
      </w:r>
      <w:r>
        <w:t xml:space="preserve"> </w:t>
      </w:r>
      <w:r>
        <w:t xml:space="preserve">Примеры оформления формы контроля: </w:t>
      </w:r>
      <w:r>
        <w:t>контрольные работы, зачеты, квалификационные испытания, защит</w:t>
      </w:r>
      <w:r>
        <w:t>а</w:t>
      </w:r>
      <w:r>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D2060000">
      <w:pPr>
        <w:pStyle w:val="Style_181"/>
        <w:rPr>
          <w:i w:val="1"/>
        </w:rPr>
      </w:pPr>
      <w:r>
        <w:rPr>
          <w:i w:val="1"/>
          <w:vertAlign w:val="superscript"/>
        </w:rPr>
        <w:footnoteRef/>
      </w:r>
      <w:r>
        <w:t xml:space="preserve"> </w:t>
      </w:r>
      <w:r>
        <w:rPr>
          <w:i w:val="1"/>
        </w:rPr>
        <w:t>Берутся сведения, указанные по данному виду деятельности в п. 4.2.</w:t>
      </w:r>
    </w:p>
  </w:footnote>
  <w:footnote w:id="6">
    <w:p w14:paraId="D3060000">
      <w:pPr>
        <w:pStyle w:val="Style_181"/>
        <w:ind/>
        <w:jc w:val="both"/>
        <w:rPr>
          <w:sz w:val="18"/>
          <w:highlight w:val="red"/>
        </w:rPr>
      </w:pPr>
      <w:r>
        <w:rPr>
          <w:sz w:val="18"/>
          <w:highlight w:val="red"/>
          <w:vertAlign w:val="superscript"/>
        </w:rPr>
        <w:footnoteRef/>
      </w:r>
      <w:r>
        <w:rPr>
          <w:sz w:val="18"/>
        </w:rPr>
        <w:t xml:space="preserve"> </w:t>
      </w:r>
      <w:r>
        <w:rPr>
          <w:rStyle w:val="Style_9_ch"/>
          <w:sz w:val="18"/>
        </w:rPr>
        <w:t>Самостоятельная работа в рамках образовательной программы планируется образовательной организацией.</w:t>
      </w:r>
    </w:p>
  </w:footnote>
  <w:footnote w:id="7">
    <w:p w14:paraId="D4060000">
      <w:pPr>
        <w:pStyle w:val="Style_181"/>
        <w:ind/>
        <w:jc w:val="both"/>
      </w:pPr>
      <w:r>
        <w:rPr>
          <w:vertAlign w:val="superscript"/>
        </w:rPr>
        <w:footnoteRef/>
      </w:r>
      <w:r>
        <w:t xml:space="preserve"> </w:t>
      </w:r>
      <w:r>
        <w:t xml:space="preserve">Примеры оформления формы контроля: </w:t>
      </w:r>
      <w:r>
        <w:t>контрольные работы, зачеты, квалификационные испытания, защит</w:t>
      </w:r>
      <w:r>
        <w:t>а</w:t>
      </w:r>
      <w:r>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pPr>
    <w:r>
      <w:fldChar w:fldCharType="begin"/>
    </w:r>
    <w:r>
      <w:instrText xml:space="preserve">PAGE </w:instrText>
    </w:r>
    <w:r>
      <w:fldChar w:fldCharType="separate"/>
    </w:r>
    <w:r>
      <w:t xml:space="preserve"> </w:t>
    </w:r>
    <w:r>
      <w:fldChar w:fldCharType="end"/>
    </w:r>
  </w:p>
  <w:p w14:paraId="02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ind/>
      <w:jc w:val="center"/>
    </w:pPr>
    <w:r>
      <w:fldChar w:fldCharType="begin"/>
    </w:r>
    <w:r>
      <w:instrText xml:space="preserve">PAGE </w:instrText>
    </w:r>
    <w:r>
      <w:fldChar w:fldCharType="separate"/>
    </w:r>
    <w:r>
      <w:t xml:space="preserve"> </w:t>
    </w:r>
    <w:r>
      <w:fldChar w:fldCharType="end"/>
    </w:r>
  </w:p>
  <w:p w14:paraId="04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ind/>
      <w:jc w:val="center"/>
    </w:pPr>
    <w:r>
      <w:fldChar w:fldCharType="begin"/>
    </w:r>
    <w:r>
      <w:instrText xml:space="preserve">PAGE </w:instrText>
    </w:r>
    <w:r>
      <w:fldChar w:fldCharType="separate"/>
    </w:r>
    <w:r>
      <w:t xml:space="preserve"> </w:t>
    </w:r>
    <w:r>
      <w:fldChar w:fldCharType="end"/>
    </w:r>
  </w:p>
  <w:p w14:paraId="06000000">
    <w:pPr>
      <w:pStyle w:val="Style_1"/>
    </w:pP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1"/>
      <w:ind/>
      <w:jc w:val="center"/>
    </w:pPr>
    <w:r>
      <w:fldChar w:fldCharType="begin"/>
    </w:r>
    <w:r>
      <w:instrText xml:space="preserve">PAGE </w:instrText>
    </w:r>
    <w:r>
      <w:fldChar w:fldCharType="separate"/>
    </w:r>
    <w:r>
      <w:t xml:space="preserve"> </w:t>
    </w:r>
    <w:r>
      <w:fldChar w:fldCharType="end"/>
    </w:r>
  </w:p>
  <w:p w14:paraId="08000000">
    <w:pPr>
      <w:pStyle w:val="Style_1"/>
    </w:pP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1"/>
      <w:ind/>
      <w:jc w:val="center"/>
    </w:pPr>
    <w:r>
      <w:fldChar w:fldCharType="begin"/>
    </w:r>
    <w:r>
      <w:instrText xml:space="preserve">PAGE </w:instrText>
    </w:r>
    <w:r>
      <w:fldChar w:fldCharType="separate"/>
    </w:r>
    <w:r>
      <w:t xml:space="preserve"> </w:t>
    </w:r>
    <w:r>
      <w:fldChar w:fldCharType="end"/>
    </w:r>
  </w:p>
  <w:p w14:paraId="0A000000">
    <w:pPr>
      <w:pStyle w:val="Style_1"/>
    </w:pPr>
  </w:p>
</w:hdr>
</file>

<file path=word/header6.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B000000">
    <w:pPr>
      <w:pStyle w:val="Style_1"/>
      <w:ind/>
      <w:jc w:val="center"/>
    </w:pPr>
    <w:r>
      <w:fldChar w:fldCharType="begin"/>
    </w:r>
    <w:r>
      <w:instrText xml:space="preserve">PAGE </w:instrText>
    </w:r>
    <w:r>
      <w:fldChar w:fldCharType="separate"/>
    </w:r>
    <w:r>
      <w:t xml:space="preserve"> </w:t>
    </w:r>
    <w:r>
      <w:fldChar w:fldCharType="end"/>
    </w:r>
  </w:p>
  <w:p w14:paraId="0C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600" w:left="600"/>
      </w:pPr>
      <w:rPr>
        <w:b w:val="0"/>
      </w:rPr>
    </w:lvl>
    <w:lvl w:ilvl="1">
      <w:start w:val="1"/>
      <w:numFmt w:val="decimal"/>
      <w:lvlText w:val="%1.%2."/>
      <w:lvlJc w:val="left"/>
      <w:pPr>
        <w:ind w:hanging="600" w:left="954"/>
      </w:pPr>
    </w:lvl>
    <w:lvl w:ilvl="2">
      <w:start w:val="1"/>
      <w:numFmt w:val="decimal"/>
      <w:lvlText w:val="%1.%2.%3."/>
      <w:lvlJc w:val="left"/>
      <w:pPr>
        <w:ind w:hanging="720" w:left="1428"/>
      </w:pPr>
    </w:lvl>
    <w:lvl w:ilvl="3">
      <w:start w:val="1"/>
      <w:numFmt w:val="decimal"/>
      <w:lvlText w:val="%1.%2.%3.%4."/>
      <w:lvlJc w:val="left"/>
      <w:pPr>
        <w:ind w:hanging="720" w:left="1782"/>
      </w:pPr>
    </w:lvl>
    <w:lvl w:ilvl="4">
      <w:start w:val="1"/>
      <w:numFmt w:val="decimal"/>
      <w:lvlText w:val="%1.%2.%3.%4.%5."/>
      <w:lvlJc w:val="left"/>
      <w:pPr>
        <w:ind w:hanging="1080" w:left="2496"/>
      </w:pPr>
    </w:lvl>
    <w:lvl w:ilvl="5">
      <w:start w:val="1"/>
      <w:numFmt w:val="decimal"/>
      <w:lvlText w:val="%1.%2.%3.%4.%5.%6."/>
      <w:lvlJc w:val="left"/>
      <w:pPr>
        <w:ind w:hanging="1080" w:left="2850"/>
      </w:pPr>
    </w:lvl>
    <w:lvl w:ilvl="6">
      <w:start w:val="1"/>
      <w:numFmt w:val="decimal"/>
      <w:lvlText w:val="%1.%2.%3.%4.%5.%6.%7."/>
      <w:lvlJc w:val="left"/>
      <w:pPr>
        <w:ind w:hanging="1440" w:left="3564"/>
      </w:pPr>
    </w:lvl>
    <w:lvl w:ilvl="7">
      <w:start w:val="1"/>
      <w:numFmt w:val="decimal"/>
      <w:lvlText w:val="%1.%2.%3.%4.%5.%6.%7.%8."/>
      <w:lvlJc w:val="left"/>
      <w:pPr>
        <w:ind w:hanging="1440" w:left="3918"/>
      </w:pPr>
    </w:lvl>
    <w:lvl w:ilvl="8">
      <w:start w:val="1"/>
      <w:numFmt w:val="decimal"/>
      <w:lvlText w:val="%1.%2.%3.%4.%5.%6.%7.%8.%9."/>
      <w:lvlJc w:val="left"/>
      <w:pPr>
        <w:ind w:hanging="1800" w:left="4632"/>
      </w:pPr>
    </w:lvl>
  </w:abstractNum>
  <w:abstractNum w:abstractNumId="1">
    <w:lvl w:ilvl="0">
      <w:start w:val="1"/>
      <w:numFmt w:val="decimal"/>
      <w:lvlText w:val="%1."/>
      <w:lvlJc w:val="left"/>
      <w:pPr>
        <w:ind w:hanging="360" w:left="393"/>
      </w:pPr>
      <w:rPr>
        <w:b w:val="0"/>
      </w:rPr>
    </w:lvl>
    <w:lvl w:ilvl="1">
      <w:start w:val="2"/>
      <w:numFmt w:val="decimal"/>
      <w:lvlText w:val="%1.%2."/>
      <w:lvlJc w:val="left"/>
      <w:pPr>
        <w:ind w:hanging="600" w:left="971"/>
      </w:pPr>
      <w:rPr>
        <w:b w:val="1"/>
        <w:i w:val="0"/>
      </w:rPr>
    </w:lvl>
    <w:lvl w:ilvl="2">
      <w:start w:val="3"/>
      <w:numFmt w:val="decimal"/>
      <w:lvlText w:val="%1.%2.%3."/>
      <w:lvlJc w:val="left"/>
      <w:pPr>
        <w:ind w:hanging="720" w:left="1429"/>
      </w:pPr>
      <w:rPr>
        <w:b w:val="1"/>
        <w:i w:val="0"/>
      </w:rPr>
    </w:lvl>
    <w:lvl w:ilvl="3">
      <w:start w:val="1"/>
      <w:numFmt w:val="decimal"/>
      <w:lvlText w:val="%1.%2.%3.%4."/>
      <w:lvlJc w:val="left"/>
      <w:pPr>
        <w:ind w:hanging="720" w:left="1767"/>
      </w:pPr>
      <w:rPr>
        <w:b w:val="1"/>
        <w:i w:val="0"/>
      </w:rPr>
    </w:lvl>
    <w:lvl w:ilvl="4">
      <w:start w:val="1"/>
      <w:numFmt w:val="decimal"/>
      <w:lvlText w:val="%1.%2.%3.%4.%5."/>
      <w:lvlJc w:val="left"/>
      <w:pPr>
        <w:ind w:hanging="1080" w:left="2465"/>
      </w:pPr>
      <w:rPr>
        <w:b w:val="1"/>
        <w:i w:val="0"/>
      </w:rPr>
    </w:lvl>
    <w:lvl w:ilvl="5">
      <w:start w:val="1"/>
      <w:numFmt w:val="decimal"/>
      <w:lvlText w:val="%1.%2.%3.%4.%5.%6."/>
      <w:lvlJc w:val="left"/>
      <w:pPr>
        <w:ind w:hanging="1080" w:left="2803"/>
      </w:pPr>
      <w:rPr>
        <w:b w:val="1"/>
        <w:i w:val="0"/>
      </w:rPr>
    </w:lvl>
    <w:lvl w:ilvl="6">
      <w:start w:val="1"/>
      <w:numFmt w:val="decimal"/>
      <w:lvlText w:val="%1.%2.%3.%4.%5.%6.%7."/>
      <w:lvlJc w:val="left"/>
      <w:pPr>
        <w:ind w:hanging="1440" w:left="3501"/>
      </w:pPr>
      <w:rPr>
        <w:b w:val="1"/>
        <w:i w:val="0"/>
      </w:rPr>
    </w:lvl>
    <w:lvl w:ilvl="7">
      <w:start w:val="1"/>
      <w:numFmt w:val="decimal"/>
      <w:lvlText w:val="%1.%2.%3.%4.%5.%6.%7.%8."/>
      <w:lvlJc w:val="left"/>
      <w:pPr>
        <w:ind w:hanging="1440" w:left="3839"/>
      </w:pPr>
      <w:rPr>
        <w:b w:val="1"/>
        <w:i w:val="0"/>
      </w:rPr>
    </w:lvl>
    <w:lvl w:ilvl="8">
      <w:start w:val="1"/>
      <w:numFmt w:val="decimal"/>
      <w:lvlText w:val="%1.%2.%3.%4.%5.%6.%7.%8.%9."/>
      <w:lvlJc w:val="left"/>
      <w:pPr>
        <w:ind w:hanging="1800" w:left="4537"/>
      </w:pPr>
      <w:rPr>
        <w:b w:val="1"/>
        <w:i w:val="0"/>
      </w:rPr>
    </w:lvl>
  </w:abstractNum>
  <w:abstractNum w:abstractNumId="2">
    <w:lvl w:ilvl="0">
      <w:start w:val="1"/>
      <w:numFmt w:val="decimal"/>
      <w:lvlText w:val="%1."/>
      <w:lvlJc w:val="left"/>
      <w:pPr>
        <w:ind w:hanging="600" w:left="600"/>
      </w:pPr>
      <w:rPr>
        <w:b w:val="0"/>
      </w:rPr>
    </w:lvl>
    <w:lvl w:ilvl="1">
      <w:start w:val="1"/>
      <w:numFmt w:val="decimal"/>
      <w:lvlText w:val="%2."/>
      <w:lvlJc w:val="left"/>
      <w:pPr>
        <w:ind w:hanging="600" w:left="954"/>
      </w:pPr>
    </w:lvl>
    <w:lvl w:ilvl="2">
      <w:start w:val="1"/>
      <w:numFmt w:val="decimal"/>
      <w:lvlText w:val="%1.%2.%3."/>
      <w:lvlJc w:val="left"/>
      <w:pPr>
        <w:ind w:hanging="720" w:left="1428"/>
      </w:pPr>
    </w:lvl>
    <w:lvl w:ilvl="3">
      <w:start w:val="1"/>
      <w:numFmt w:val="decimal"/>
      <w:lvlText w:val="%1.%2.%3.%4."/>
      <w:lvlJc w:val="left"/>
      <w:pPr>
        <w:ind w:hanging="720" w:left="1782"/>
      </w:pPr>
    </w:lvl>
    <w:lvl w:ilvl="4">
      <w:start w:val="1"/>
      <w:numFmt w:val="decimal"/>
      <w:lvlText w:val="%1.%2.%3.%4.%5."/>
      <w:lvlJc w:val="left"/>
      <w:pPr>
        <w:ind w:hanging="1080" w:left="2496"/>
      </w:pPr>
    </w:lvl>
    <w:lvl w:ilvl="5">
      <w:start w:val="1"/>
      <w:numFmt w:val="decimal"/>
      <w:lvlText w:val="%1.%2.%3.%4.%5.%6."/>
      <w:lvlJc w:val="left"/>
      <w:pPr>
        <w:ind w:hanging="1080" w:left="2850"/>
      </w:pPr>
    </w:lvl>
    <w:lvl w:ilvl="6">
      <w:start w:val="1"/>
      <w:numFmt w:val="decimal"/>
      <w:lvlText w:val="%1.%2.%3.%4.%5.%6.%7."/>
      <w:lvlJc w:val="left"/>
      <w:pPr>
        <w:ind w:hanging="1440" w:left="3564"/>
      </w:pPr>
    </w:lvl>
    <w:lvl w:ilvl="7">
      <w:start w:val="1"/>
      <w:numFmt w:val="decimal"/>
      <w:lvlText w:val="%1.%2.%3.%4.%5.%6.%7.%8."/>
      <w:lvlJc w:val="left"/>
      <w:pPr>
        <w:ind w:hanging="1440" w:left="3918"/>
      </w:pPr>
    </w:lvl>
    <w:lvl w:ilvl="8">
      <w:start w:val="1"/>
      <w:numFmt w:val="decimal"/>
      <w:lvlText w:val="%1.%2.%3.%4.%5.%6.%7.%8.%9."/>
      <w:lvlJc w:val="left"/>
      <w:pPr>
        <w:ind w:hanging="1800" w:left="4632"/>
      </w:pPr>
    </w:lvl>
  </w:abstractNum>
  <w:abstractNum w:abstractNumId="3">
    <w:lvl w:ilvl="0">
      <w:start w:val="1"/>
      <w:numFmt w:val="decimal"/>
      <w:lvlText w:val="%1."/>
      <w:lvlJc w:val="left"/>
      <w:pPr>
        <w:ind w:hanging="600" w:left="600"/>
      </w:pPr>
      <w:rPr>
        <w:b w:val="0"/>
      </w:rPr>
    </w:lvl>
    <w:lvl w:ilvl="1">
      <w:start w:val="1"/>
      <w:numFmt w:val="decimal"/>
      <w:lvlText w:val="%1.%2."/>
      <w:lvlJc w:val="left"/>
      <w:pPr>
        <w:ind w:hanging="600" w:left="954"/>
      </w:pPr>
    </w:lvl>
    <w:lvl w:ilvl="2">
      <w:start w:val="1"/>
      <w:numFmt w:val="decimal"/>
      <w:lvlText w:val="%1.%2.%3."/>
      <w:lvlJc w:val="left"/>
      <w:pPr>
        <w:ind w:hanging="720" w:left="1428"/>
      </w:pPr>
    </w:lvl>
    <w:lvl w:ilvl="3">
      <w:start w:val="1"/>
      <w:numFmt w:val="decimal"/>
      <w:lvlText w:val="%1.%2.%3.%4."/>
      <w:lvlJc w:val="left"/>
      <w:pPr>
        <w:ind w:hanging="720" w:left="1782"/>
      </w:pPr>
    </w:lvl>
    <w:lvl w:ilvl="4">
      <w:start w:val="1"/>
      <w:numFmt w:val="decimal"/>
      <w:lvlText w:val="%1.%2.%3.%4.%5."/>
      <w:lvlJc w:val="left"/>
      <w:pPr>
        <w:ind w:hanging="1080" w:left="2496"/>
      </w:pPr>
    </w:lvl>
    <w:lvl w:ilvl="5">
      <w:start w:val="1"/>
      <w:numFmt w:val="decimal"/>
      <w:lvlText w:val="%1.%2.%3.%4.%5.%6."/>
      <w:lvlJc w:val="left"/>
      <w:pPr>
        <w:ind w:hanging="1080" w:left="2850"/>
      </w:pPr>
    </w:lvl>
    <w:lvl w:ilvl="6">
      <w:start w:val="1"/>
      <w:numFmt w:val="decimal"/>
      <w:lvlText w:val="%1.%2.%3.%4.%5.%6.%7."/>
      <w:lvlJc w:val="left"/>
      <w:pPr>
        <w:ind w:hanging="1440" w:left="3564"/>
      </w:pPr>
    </w:lvl>
    <w:lvl w:ilvl="7">
      <w:start w:val="1"/>
      <w:numFmt w:val="decimal"/>
      <w:lvlText w:val="%1.%2.%3.%4.%5.%6.%7.%8."/>
      <w:lvlJc w:val="left"/>
      <w:pPr>
        <w:ind w:hanging="1440" w:left="3918"/>
      </w:pPr>
    </w:lvl>
    <w:lvl w:ilvl="8">
      <w:start w:val="1"/>
      <w:numFmt w:val="decimal"/>
      <w:lvlText w:val="%1.%2.%3.%4.%5.%6.%7.%8.%9."/>
      <w:lvlJc w:val="left"/>
      <w:pPr>
        <w:ind w:hanging="1800" w:left="4632"/>
      </w:pPr>
    </w:lvl>
  </w:abstractNum>
  <w:abstractNum w:abstractNumId="4">
    <w:lvl w:ilvl="0">
      <w:start w:val="1"/>
      <w:numFmt w:val="decimal"/>
      <w:lvlText w:val="%1."/>
      <w:lvlJc w:val="left"/>
      <w:pPr>
        <w:ind w:hanging="600" w:left="600"/>
      </w:pPr>
      <w:rPr>
        <w:b w:val="0"/>
      </w:rPr>
    </w:lvl>
    <w:lvl w:ilvl="1">
      <w:start w:val="1"/>
      <w:numFmt w:val="decimal"/>
      <w:lvlText w:val="%1.%2."/>
      <w:lvlJc w:val="left"/>
      <w:pPr>
        <w:ind w:hanging="600" w:left="954"/>
      </w:pPr>
    </w:lvl>
    <w:lvl w:ilvl="2">
      <w:start w:val="1"/>
      <w:numFmt w:val="decimal"/>
      <w:lvlText w:val="%1.%2.%3."/>
      <w:lvlJc w:val="left"/>
      <w:pPr>
        <w:ind w:hanging="720" w:left="1428"/>
      </w:pPr>
    </w:lvl>
    <w:lvl w:ilvl="3">
      <w:start w:val="1"/>
      <w:numFmt w:val="decimal"/>
      <w:lvlText w:val="%1.%2.%3.%4."/>
      <w:lvlJc w:val="left"/>
      <w:pPr>
        <w:ind w:hanging="720" w:left="1782"/>
      </w:pPr>
    </w:lvl>
    <w:lvl w:ilvl="4">
      <w:start w:val="1"/>
      <w:numFmt w:val="decimal"/>
      <w:lvlText w:val="%1.%2.%3.%4.%5."/>
      <w:lvlJc w:val="left"/>
      <w:pPr>
        <w:ind w:hanging="1080" w:left="2496"/>
      </w:pPr>
    </w:lvl>
    <w:lvl w:ilvl="5">
      <w:start w:val="1"/>
      <w:numFmt w:val="decimal"/>
      <w:lvlText w:val="%1.%2.%3.%4.%5.%6."/>
      <w:lvlJc w:val="left"/>
      <w:pPr>
        <w:ind w:hanging="1080" w:left="2850"/>
      </w:pPr>
    </w:lvl>
    <w:lvl w:ilvl="6">
      <w:start w:val="1"/>
      <w:numFmt w:val="decimal"/>
      <w:lvlText w:val="%1.%2.%3.%4.%5.%6.%7."/>
      <w:lvlJc w:val="left"/>
      <w:pPr>
        <w:ind w:hanging="1440" w:left="3564"/>
      </w:pPr>
    </w:lvl>
    <w:lvl w:ilvl="7">
      <w:start w:val="1"/>
      <w:numFmt w:val="decimal"/>
      <w:lvlText w:val="%1.%2.%3.%4.%5.%6.%7.%8."/>
      <w:lvlJc w:val="left"/>
      <w:pPr>
        <w:ind w:hanging="1440" w:left="3918"/>
      </w:pPr>
    </w:lvl>
    <w:lvl w:ilvl="8">
      <w:start w:val="1"/>
      <w:numFmt w:val="decimal"/>
      <w:lvlText w:val="%1.%2.%3.%4.%5.%6.%7.%8.%9."/>
      <w:lvlJc w:val="left"/>
      <w:pPr>
        <w:ind w:hanging="1800" w:left="4632"/>
      </w:pPr>
    </w:lvl>
  </w:abstractNum>
  <w:abstractNum w:abstractNumId="5">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6">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7">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8">
    <w:lvl w:ilvl="0">
      <w:start w:val="1"/>
      <w:numFmt w:val="decimal"/>
      <w:lvlText w:val="%1."/>
      <w:lvlJc w:val="left"/>
      <w:pPr>
        <w:tabs>
          <w:tab w:leader="none" w:pos="786" w:val="left"/>
        </w:tabs>
        <w:ind w:hanging="360" w:left="786"/>
      </w:pPr>
      <w:rPr>
        <w:b w:val="0"/>
        <w:i w:val="0"/>
        <w:strike w:val="0"/>
        <w:sz w:val="28"/>
      </w:rPr>
    </w:lvl>
    <w:lvl w:ilvl="1">
      <w:start w:val="1"/>
      <w:numFmt w:val="lowerLetter"/>
      <w:lvlText w:val="%2."/>
      <w:lvlJc w:val="left"/>
      <w:pPr>
        <w:tabs>
          <w:tab w:leader="none" w:pos="1440" w:val="left"/>
        </w:tabs>
        <w:ind w:hanging="360" w:left="1440"/>
      </w:pPr>
    </w:lvl>
    <w:lvl w:ilvl="2">
      <w:start w:val="1"/>
      <w:numFmt w:val="lowerRoman"/>
      <w:lvlText w:val="%3."/>
      <w:lvlJc w:val="right"/>
      <w:pPr>
        <w:tabs>
          <w:tab w:leader="none" w:pos="2160" w:val="left"/>
        </w:tabs>
        <w:ind w:hanging="180" w:left="2160"/>
      </w:pPr>
    </w:lvl>
    <w:lvl w:ilvl="3">
      <w:start w:val="1"/>
      <w:numFmt w:val="decimal"/>
      <w:lvlText w:val="%4."/>
      <w:lvlJc w:val="left"/>
      <w:pPr>
        <w:tabs>
          <w:tab w:leader="none" w:pos="2880" w:val="left"/>
        </w:tabs>
        <w:ind w:hanging="360" w:left="2880"/>
      </w:pPr>
    </w:lvl>
    <w:lvl w:ilvl="4">
      <w:start w:val="1"/>
      <w:numFmt w:val="lowerLetter"/>
      <w:lvlText w:val="%5."/>
      <w:lvlJc w:val="left"/>
      <w:pPr>
        <w:tabs>
          <w:tab w:leader="none" w:pos="3600" w:val="left"/>
        </w:tabs>
        <w:ind w:hanging="360" w:left="3600"/>
      </w:pPr>
    </w:lvl>
    <w:lvl w:ilvl="5">
      <w:start w:val="1"/>
      <w:numFmt w:val="lowerRoman"/>
      <w:lvlText w:val="%6."/>
      <w:lvlJc w:val="right"/>
      <w:pPr>
        <w:tabs>
          <w:tab w:leader="none" w:pos="4320" w:val="left"/>
        </w:tabs>
        <w:ind w:hanging="180" w:left="4320"/>
      </w:pPr>
    </w:lvl>
    <w:lvl w:ilvl="6">
      <w:start w:val="1"/>
      <w:numFmt w:val="decimal"/>
      <w:lvlText w:val="%7."/>
      <w:lvlJc w:val="left"/>
      <w:pPr>
        <w:tabs>
          <w:tab w:leader="none" w:pos="5040" w:val="left"/>
        </w:tabs>
        <w:ind w:hanging="360" w:left="5040"/>
      </w:pPr>
    </w:lvl>
    <w:lvl w:ilvl="7">
      <w:start w:val="1"/>
      <w:numFmt w:val="lowerLetter"/>
      <w:lvlText w:val="%8."/>
      <w:lvlJc w:val="left"/>
      <w:pPr>
        <w:tabs>
          <w:tab w:leader="none" w:pos="5760" w:val="left"/>
        </w:tabs>
        <w:ind w:hanging="360" w:left="5760"/>
      </w:pPr>
    </w:lvl>
    <w:lvl w:ilvl="8">
      <w:start w:val="1"/>
      <w:numFmt w:val="lowerRoman"/>
      <w:lvlText w:val="%9."/>
      <w:lvlJc w:val="right"/>
      <w:pPr>
        <w:tabs>
          <w:tab w:leader="none" w:pos="6480" w:val="left"/>
        </w:tabs>
        <w:ind w:hanging="180" w:left="6480"/>
      </w:pPr>
    </w:lvl>
  </w:abstractNum>
  <w:abstractNum w:abstractNumId="9">
    <w:lvl w:ilvl="0">
      <w:start w:val="1"/>
      <w:numFmt w:val="decimal"/>
      <w:lvlText w:val="%1."/>
      <w:lvlJc w:val="left"/>
      <w:pPr>
        <w:ind w:hanging="360" w:left="2138"/>
      </w:pPr>
      <w:rPr>
        <w:b w:val="0"/>
      </w:r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10">
    <w:lvl w:ilvl="0">
      <w:start w:val="1"/>
      <w:numFmt w:val="decimal"/>
      <w:lvlText w:val="%1."/>
      <w:lvlJc w:val="left"/>
      <w:pPr>
        <w:ind w:hanging="360" w:left="1429"/>
      </w:pPr>
      <w:rPr>
        <w:b w:val="0"/>
      </w:r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11">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2">
    <w:lvl w:ilvl="0">
      <w:start w:val="1"/>
      <w:numFmt w:val="decimal"/>
      <w:lvlText w:val="%1."/>
      <w:lvlJc w:val="left"/>
      <w:pPr>
        <w:ind w:hanging="360" w:left="720"/>
      </w:pPr>
      <w:rPr>
        <w:b w:val="0"/>
      </w:rPr>
    </w:lvl>
    <w:lvl w:ilvl="1">
      <w:start w:val="2"/>
      <w:numFmt w:val="decimal"/>
      <w:lvlText w:val="%1.%2."/>
      <w:lvlJc w:val="left"/>
      <w:pPr>
        <w:ind w:hanging="420" w:left="780"/>
      </w:pPr>
    </w:lvl>
    <w:lvl w:ilvl="2">
      <w:start w:val="1"/>
      <w:numFmt w:val="decimal"/>
      <w:lvlText w:val="%1.%2.%3."/>
      <w:lvlJc w:val="left"/>
      <w:pPr>
        <w:ind w:hanging="720" w:left="720"/>
      </w:pPr>
    </w:lvl>
    <w:lvl w:ilvl="3">
      <w:start w:val="1"/>
      <w:numFmt w:val="decimal"/>
      <w:lvlText w:val="%1.%2.%3.%4."/>
      <w:lvlJc w:val="left"/>
      <w:pPr>
        <w:ind w:hanging="720" w:left="1080"/>
      </w:pPr>
    </w:lvl>
    <w:lvl w:ilvl="4">
      <w:start w:val="1"/>
      <w:numFmt w:val="decimal"/>
      <w:lvlText w:val="%1.%2.%3.%4.%5."/>
      <w:lvlJc w:val="left"/>
      <w:pPr>
        <w:ind w:hanging="1080" w:left="1440"/>
      </w:pPr>
    </w:lvl>
    <w:lvl w:ilvl="5">
      <w:start w:val="1"/>
      <w:numFmt w:val="decimal"/>
      <w:lvlText w:val="%1.%2.%3.%4.%5.%6."/>
      <w:lvlJc w:val="left"/>
      <w:pPr>
        <w:ind w:hanging="1080" w:left="1440"/>
      </w:pPr>
    </w:lvl>
    <w:lvl w:ilvl="6">
      <w:start w:val="1"/>
      <w:numFmt w:val="decimal"/>
      <w:lvlText w:val="%1.%2.%3.%4.%5.%6.%7."/>
      <w:lvlJc w:val="left"/>
      <w:pPr>
        <w:ind w:hanging="1440" w:left="1800"/>
      </w:pPr>
    </w:lvl>
    <w:lvl w:ilvl="7">
      <w:start w:val="1"/>
      <w:numFmt w:val="decimal"/>
      <w:lvlText w:val="%1.%2.%3.%4.%5.%6.%7.%8."/>
      <w:lvlJc w:val="left"/>
      <w:pPr>
        <w:ind w:hanging="1440" w:left="1800"/>
      </w:pPr>
    </w:lvl>
    <w:lvl w:ilvl="8">
      <w:start w:val="1"/>
      <w:numFmt w:val="decimal"/>
      <w:lvlText w:val="%1.%2.%3.%4.%5.%6.%7.%8.%9."/>
      <w:lvlJc w:val="left"/>
      <w:pPr>
        <w:ind w:hanging="1800" w:left="2160"/>
      </w:pPr>
    </w:lvl>
  </w:abstractNum>
  <w:abstractNum w:abstractNumId="13">
    <w:lvl w:ilvl="0">
      <w:start w:val="1"/>
      <w:numFmt w:val="decimal"/>
      <w:lvlText w:val="%1."/>
      <w:lvlJc w:val="left"/>
      <w:pPr>
        <w:ind w:hanging="360" w:left="720"/>
      </w:pPr>
      <w:rPr>
        <w:b w:val="0"/>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4">
    <w:lvl w:ilvl="0">
      <w:start w:val="5"/>
      <w:numFmt w:val="decimal"/>
      <w:lvlText w:val="%1."/>
      <w:lvlJc w:val="left"/>
      <w:pPr>
        <w:ind w:hanging="360" w:left="1429"/>
      </w:pPr>
      <w:rPr>
        <w:b w:val="0"/>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5" w:type="paragraph">
    <w:name w:val="Normal"/>
    <w:link w:val="Style_15_ch"/>
    <w:uiPriority w:val="0"/>
    <w:qFormat/>
  </w:style>
  <w:style w:default="1" w:styleId="Style_15_ch" w:type="character">
    <w:name w:val="Normal"/>
    <w:link w:val="Style_15"/>
  </w:style>
  <w:style w:styleId="Style_16" w:type="paragraph">
    <w:name w:val="xl139"/>
    <w:basedOn w:val="Style_15"/>
    <w:link w:val="Style_16_ch"/>
    <w:pPr>
      <w:spacing w:afterAutospacing="on" w:beforeAutospacing="on"/>
      <w:ind/>
    </w:pPr>
    <w:rPr>
      <w:rFonts w:ascii="Times New Roman" w:hAnsi="Times New Roman"/>
      <w:b w:val="1"/>
      <w:sz w:val="16"/>
    </w:rPr>
  </w:style>
  <w:style w:styleId="Style_16_ch" w:type="character">
    <w:name w:val="xl139"/>
    <w:basedOn w:val="Style_15_ch"/>
    <w:link w:val="Style_16"/>
    <w:rPr>
      <w:rFonts w:ascii="Times New Roman" w:hAnsi="Times New Roman"/>
      <w:b w:val="1"/>
      <w:sz w:val="16"/>
    </w:rPr>
  </w:style>
  <w:style w:styleId="Style_17" w:type="paragraph">
    <w:name w:val="Сравнение редакций"/>
    <w:link w:val="Style_17_ch"/>
    <w:rPr>
      <w:b w:val="1"/>
      <w:color w:val="26282F"/>
    </w:rPr>
  </w:style>
  <w:style w:styleId="Style_17_ch" w:type="character">
    <w:name w:val="Сравнение редакций"/>
    <w:link w:val="Style_17"/>
    <w:rPr>
      <w:b w:val="1"/>
      <w:color w:val="26282F"/>
    </w:rPr>
  </w:style>
  <w:style w:styleId="Style_18" w:type="paragraph">
    <w:name w:val="FollowedHyperlink"/>
    <w:basedOn w:val="Style_19"/>
    <w:link w:val="Style_18_ch"/>
    <w:rPr>
      <w:color w:themeColor="followedHyperlink" w:val="954F72"/>
      <w:u w:val="single"/>
    </w:rPr>
  </w:style>
  <w:style w:styleId="Style_18_ch" w:type="character">
    <w:name w:val="FollowedHyperlink"/>
    <w:basedOn w:val="Style_19_ch"/>
    <w:link w:val="Style_18"/>
    <w:rPr>
      <w:color w:themeColor="followedHyperlink" w:val="954F72"/>
      <w:u w:val="single"/>
    </w:rPr>
  </w:style>
  <w:style w:styleId="Style_20" w:type="paragraph">
    <w:name w:val="xl63"/>
    <w:basedOn w:val="Style_15"/>
    <w:link w:val="Style_20_ch"/>
    <w:pPr>
      <w:spacing w:afterAutospacing="on" w:beforeAutospacing="on"/>
      <w:ind/>
    </w:pPr>
    <w:rPr>
      <w:rFonts w:ascii="Times New Roman" w:hAnsi="Times New Roman"/>
      <w:sz w:val="24"/>
    </w:rPr>
  </w:style>
  <w:style w:styleId="Style_20_ch" w:type="character">
    <w:name w:val="xl63"/>
    <w:basedOn w:val="Style_15_ch"/>
    <w:link w:val="Style_20"/>
    <w:rPr>
      <w:rFonts w:ascii="Times New Roman" w:hAnsi="Times New Roman"/>
      <w:sz w:val="24"/>
    </w:rPr>
  </w:style>
  <w:style w:styleId="Style_21" w:type="paragraph">
    <w:name w:val="ConsPlusCell"/>
    <w:link w:val="Style_21_ch"/>
    <w:rPr>
      <w:rFonts w:ascii="Arial" w:hAnsi="Arial"/>
      <w:sz w:val="20"/>
    </w:rPr>
  </w:style>
  <w:style w:styleId="Style_21_ch" w:type="character">
    <w:name w:val="ConsPlusCell"/>
    <w:link w:val="Style_21"/>
    <w:rPr>
      <w:rFonts w:ascii="Arial" w:hAnsi="Arial"/>
      <w:sz w:val="20"/>
    </w:rPr>
  </w:style>
  <w:style w:styleId="Style_22" w:type="paragraph">
    <w:name w:val="docdata"/>
    <w:basedOn w:val="Style_19"/>
    <w:link w:val="Style_22_ch"/>
  </w:style>
  <w:style w:styleId="Style_22_ch" w:type="character">
    <w:name w:val="docdata"/>
    <w:basedOn w:val="Style_19_ch"/>
    <w:link w:val="Style_22"/>
  </w:style>
  <w:style w:styleId="Style_23" w:type="paragraph">
    <w:name w:val="xl101"/>
    <w:basedOn w:val="Style_15"/>
    <w:link w:val="Style_23_ch"/>
    <w:pPr>
      <w:spacing w:afterAutospacing="on" w:beforeAutospacing="on"/>
      <w:ind/>
    </w:pPr>
    <w:rPr>
      <w:rFonts w:ascii="Times New Roman" w:hAnsi="Times New Roman"/>
      <w:color w:val="FFFFFF"/>
      <w:sz w:val="14"/>
    </w:rPr>
  </w:style>
  <w:style w:styleId="Style_23_ch" w:type="character">
    <w:name w:val="xl101"/>
    <w:basedOn w:val="Style_15_ch"/>
    <w:link w:val="Style_23"/>
    <w:rPr>
      <w:rFonts w:ascii="Times New Roman" w:hAnsi="Times New Roman"/>
      <w:color w:val="FFFFFF"/>
      <w:sz w:val="14"/>
    </w:rPr>
  </w:style>
  <w:style w:styleId="Style_4" w:type="paragraph">
    <w:name w:val="toc 2"/>
    <w:basedOn w:val="Style_15"/>
    <w:next w:val="Style_15"/>
    <w:link w:val="Style_4_ch"/>
    <w:uiPriority w:val="39"/>
    <w:pPr>
      <w:tabs>
        <w:tab w:leader="dot" w:pos="9639" w:val="right"/>
      </w:tabs>
      <w:spacing w:before="120"/>
      <w:ind w:firstLine="0" w:left="240"/>
    </w:pPr>
    <w:rPr>
      <w:rFonts w:ascii="Times New Roman" w:hAnsi="Times New Roman"/>
      <w:i w:val="1"/>
      <w:sz w:val="24"/>
    </w:rPr>
  </w:style>
  <w:style w:styleId="Style_4_ch" w:type="character">
    <w:name w:val="toc 2"/>
    <w:basedOn w:val="Style_15_ch"/>
    <w:link w:val="Style_4"/>
    <w:rPr>
      <w:rFonts w:ascii="Times New Roman" w:hAnsi="Times New Roman"/>
      <w:i w:val="1"/>
      <w:sz w:val="24"/>
    </w:rPr>
  </w:style>
  <w:style w:styleId="Style_24" w:type="paragraph">
    <w:name w:val="Заголовок статьи"/>
    <w:basedOn w:val="Style_15"/>
    <w:next w:val="Style_15"/>
    <w:link w:val="Style_24_ch"/>
    <w:pPr>
      <w:widowControl w:val="0"/>
      <w:spacing w:line="360" w:lineRule="auto"/>
      <w:ind w:hanging="892" w:left="1612"/>
      <w:jc w:val="both"/>
    </w:pPr>
    <w:rPr>
      <w:rFonts w:ascii="Times New Roman" w:hAnsi="Times New Roman"/>
      <w:sz w:val="24"/>
    </w:rPr>
  </w:style>
  <w:style w:styleId="Style_24_ch" w:type="character">
    <w:name w:val="Заголовок статьи"/>
    <w:basedOn w:val="Style_15_ch"/>
    <w:link w:val="Style_24"/>
    <w:rPr>
      <w:rFonts w:ascii="Times New Roman" w:hAnsi="Times New Roman"/>
      <w:sz w:val="24"/>
    </w:rPr>
  </w:style>
  <w:style w:styleId="Style_25" w:type="paragraph">
    <w:name w:val="Куда обратиться?"/>
    <w:basedOn w:val="Style_26"/>
    <w:next w:val="Style_15"/>
    <w:link w:val="Style_25_ch"/>
  </w:style>
  <w:style w:styleId="Style_25_ch" w:type="character">
    <w:name w:val="Куда обратиться?"/>
    <w:basedOn w:val="Style_26_ch"/>
    <w:link w:val="Style_25"/>
  </w:style>
  <w:style w:styleId="Style_27" w:type="paragraph">
    <w:name w:val="xl164"/>
    <w:basedOn w:val="Style_15"/>
    <w:link w:val="Style_27_ch"/>
    <w:pPr>
      <w:spacing w:afterAutospacing="on" w:beforeAutospacing="on"/>
      <w:ind/>
      <w:jc w:val="center"/>
    </w:pPr>
    <w:rPr>
      <w:rFonts w:ascii="Times New Roman" w:hAnsi="Times New Roman"/>
      <w:i w:val="1"/>
      <w:sz w:val="14"/>
    </w:rPr>
  </w:style>
  <w:style w:styleId="Style_27_ch" w:type="character">
    <w:name w:val="xl164"/>
    <w:basedOn w:val="Style_15_ch"/>
    <w:link w:val="Style_27"/>
    <w:rPr>
      <w:rFonts w:ascii="Times New Roman" w:hAnsi="Times New Roman"/>
      <w:i w:val="1"/>
      <w:sz w:val="14"/>
    </w:rPr>
  </w:style>
  <w:style w:styleId="Style_28" w:type="paragraph">
    <w:name w:val="Текст ЭР (см. также)"/>
    <w:basedOn w:val="Style_15"/>
    <w:next w:val="Style_15"/>
    <w:link w:val="Style_28_ch"/>
    <w:pPr>
      <w:widowControl w:val="0"/>
      <w:spacing w:before="200" w:line="360" w:lineRule="auto"/>
      <w:ind/>
    </w:pPr>
    <w:rPr>
      <w:rFonts w:ascii="Times New Roman" w:hAnsi="Times New Roman"/>
      <w:sz w:val="20"/>
    </w:rPr>
  </w:style>
  <w:style w:styleId="Style_28_ch" w:type="character">
    <w:name w:val="Текст ЭР (см. также)"/>
    <w:basedOn w:val="Style_15_ch"/>
    <w:link w:val="Style_28"/>
    <w:rPr>
      <w:rFonts w:ascii="Times New Roman" w:hAnsi="Times New Roman"/>
      <w:sz w:val="20"/>
    </w:rPr>
  </w:style>
  <w:style w:styleId="Style_29" w:type="paragraph">
    <w:name w:val="Опечатки"/>
    <w:link w:val="Style_29_ch"/>
    <w:rPr>
      <w:color w:val="FF0000"/>
    </w:rPr>
  </w:style>
  <w:style w:styleId="Style_29_ch" w:type="character">
    <w:name w:val="Опечатки"/>
    <w:link w:val="Style_29"/>
    <w:rPr>
      <w:color w:val="FF0000"/>
    </w:rPr>
  </w:style>
  <w:style w:styleId="Style_30" w:type="paragraph">
    <w:name w:val="xl149"/>
    <w:basedOn w:val="Style_15"/>
    <w:link w:val="Style_30_ch"/>
    <w:pPr>
      <w:spacing w:afterAutospacing="on" w:beforeAutospacing="on"/>
      <w:ind/>
    </w:pPr>
    <w:rPr>
      <w:rFonts w:ascii="Times New Roman" w:hAnsi="Times New Roman"/>
      <w:b w:val="1"/>
      <w:sz w:val="16"/>
    </w:rPr>
  </w:style>
  <w:style w:styleId="Style_30_ch" w:type="character">
    <w:name w:val="xl149"/>
    <w:basedOn w:val="Style_15_ch"/>
    <w:link w:val="Style_30"/>
    <w:rPr>
      <w:rFonts w:ascii="Times New Roman" w:hAnsi="Times New Roman"/>
      <w:b w:val="1"/>
      <w:sz w:val="16"/>
    </w:rPr>
  </w:style>
  <w:style w:styleId="Style_31" w:type="paragraph">
    <w:name w:val="Напишите нам"/>
    <w:basedOn w:val="Style_15"/>
    <w:next w:val="Style_15"/>
    <w:link w:val="Style_31_ch"/>
    <w:pPr>
      <w:widowControl w:val="0"/>
      <w:spacing w:after="90" w:before="90" w:line="360" w:lineRule="auto"/>
      <w:ind w:firstLine="0" w:left="180" w:right="180"/>
      <w:jc w:val="both"/>
    </w:pPr>
    <w:rPr>
      <w:rFonts w:ascii="Times New Roman" w:hAnsi="Times New Roman"/>
      <w:sz w:val="20"/>
    </w:rPr>
  </w:style>
  <w:style w:styleId="Style_31_ch" w:type="character">
    <w:name w:val="Напишите нам"/>
    <w:basedOn w:val="Style_15_ch"/>
    <w:link w:val="Style_31"/>
    <w:rPr>
      <w:rFonts w:ascii="Times New Roman" w:hAnsi="Times New Roman"/>
      <w:sz w:val="20"/>
    </w:rPr>
  </w:style>
  <w:style w:styleId="Style_32" w:type="paragraph">
    <w:name w:val="toc 4"/>
    <w:basedOn w:val="Style_15"/>
    <w:next w:val="Style_15"/>
    <w:link w:val="Style_32_ch"/>
    <w:uiPriority w:val="39"/>
    <w:pPr>
      <w:ind w:firstLine="0" w:left="720"/>
    </w:pPr>
    <w:rPr>
      <w:rFonts w:ascii="Calibri" w:hAnsi="Calibri"/>
      <w:sz w:val="20"/>
    </w:rPr>
  </w:style>
  <w:style w:styleId="Style_32_ch" w:type="character">
    <w:name w:val="toc 4"/>
    <w:basedOn w:val="Style_15_ch"/>
    <w:link w:val="Style_32"/>
    <w:rPr>
      <w:rFonts w:ascii="Calibri" w:hAnsi="Calibri"/>
      <w:sz w:val="20"/>
    </w:rPr>
  </w:style>
  <w:style w:styleId="Style_33" w:type="paragraph">
    <w:name w:val="Текст примечания Знак1"/>
    <w:link w:val="Style_33_ch"/>
    <w:rPr>
      <w:rFonts w:ascii="Times New Roman" w:hAnsi="Times New Roman"/>
      <w:sz w:val="20"/>
    </w:rPr>
  </w:style>
  <w:style w:styleId="Style_33_ch" w:type="character">
    <w:name w:val="Текст примечания Знак1"/>
    <w:link w:val="Style_33"/>
    <w:rPr>
      <w:rFonts w:ascii="Times New Roman" w:hAnsi="Times New Roman"/>
      <w:sz w:val="20"/>
    </w:rPr>
  </w:style>
  <w:style w:styleId="Style_34" w:type="paragraph">
    <w:name w:val="Необходимые документы"/>
    <w:basedOn w:val="Style_26"/>
    <w:next w:val="Style_15"/>
    <w:link w:val="Style_34_ch"/>
    <w:pPr>
      <w:ind w:firstLine="118" w:left="0"/>
    </w:pPr>
  </w:style>
  <w:style w:styleId="Style_34_ch" w:type="character">
    <w:name w:val="Необходимые документы"/>
    <w:basedOn w:val="Style_26_ch"/>
    <w:link w:val="Style_34"/>
  </w:style>
  <w:style w:styleId="Style_35" w:type="paragraph">
    <w:name w:val="xl128"/>
    <w:basedOn w:val="Style_15"/>
    <w:link w:val="Style_35_ch"/>
    <w:pPr>
      <w:spacing w:afterAutospacing="on" w:beforeAutospacing="on"/>
      <w:ind/>
      <w:jc w:val="center"/>
    </w:pPr>
    <w:rPr>
      <w:rFonts w:ascii="Times New Roman" w:hAnsi="Times New Roman"/>
      <w:b w:val="1"/>
      <w:i w:val="1"/>
      <w:color w:val="000000"/>
      <w:sz w:val="16"/>
    </w:rPr>
  </w:style>
  <w:style w:styleId="Style_35_ch" w:type="character">
    <w:name w:val="xl128"/>
    <w:basedOn w:val="Style_15_ch"/>
    <w:link w:val="Style_35"/>
    <w:rPr>
      <w:rFonts w:ascii="Times New Roman" w:hAnsi="Times New Roman"/>
      <w:b w:val="1"/>
      <w:i w:val="1"/>
      <w:color w:val="000000"/>
      <w:sz w:val="16"/>
    </w:rPr>
  </w:style>
  <w:style w:styleId="Style_36" w:type="paragraph">
    <w:name w:val="Текст информации об изменениях"/>
    <w:basedOn w:val="Style_15"/>
    <w:next w:val="Style_15"/>
    <w:link w:val="Style_36_ch"/>
    <w:pPr>
      <w:widowControl w:val="0"/>
      <w:spacing w:line="360" w:lineRule="auto"/>
      <w:ind w:firstLine="720" w:left="0"/>
      <w:jc w:val="both"/>
    </w:pPr>
    <w:rPr>
      <w:rFonts w:ascii="Times New Roman" w:hAnsi="Times New Roman"/>
      <w:color w:val="353842"/>
      <w:sz w:val="18"/>
    </w:rPr>
  </w:style>
  <w:style w:styleId="Style_36_ch" w:type="character">
    <w:name w:val="Текст информации об изменениях"/>
    <w:basedOn w:val="Style_15_ch"/>
    <w:link w:val="Style_36"/>
    <w:rPr>
      <w:rFonts w:ascii="Times New Roman" w:hAnsi="Times New Roman"/>
      <w:color w:val="353842"/>
      <w:sz w:val="18"/>
    </w:rPr>
  </w:style>
  <w:style w:styleId="Style_37" w:type="paragraph">
    <w:name w:val="ConsPlusNonformat"/>
    <w:link w:val="Style_37_ch"/>
    <w:pPr>
      <w:widowControl w:val="0"/>
      <w:ind/>
    </w:pPr>
    <w:rPr>
      <w:rFonts w:ascii="Courier New" w:hAnsi="Courier New"/>
      <w:sz w:val="20"/>
    </w:rPr>
  </w:style>
  <w:style w:styleId="Style_37_ch" w:type="character">
    <w:name w:val="ConsPlusNonformat"/>
    <w:link w:val="Style_37"/>
    <w:rPr>
      <w:rFonts w:ascii="Courier New" w:hAnsi="Courier New"/>
      <w:sz w:val="20"/>
    </w:rPr>
  </w:style>
  <w:style w:styleId="Style_38" w:type="paragraph">
    <w:name w:val="Сравнение редакций. Добавленный фрагмент"/>
    <w:link w:val="Style_38_ch"/>
    <w:rPr>
      <w:color w:val="000000"/>
      <w:shd w:fill="C1D7FF" w:val="clear"/>
    </w:rPr>
  </w:style>
  <w:style w:styleId="Style_38_ch" w:type="character">
    <w:name w:val="Сравнение редакций. Добавленный фрагмент"/>
    <w:link w:val="Style_38"/>
    <w:rPr>
      <w:color w:val="000000"/>
      <w:shd w:fill="C1D7FF" w:val="clear"/>
    </w:rPr>
  </w:style>
  <w:style w:styleId="Style_39" w:type="paragraph">
    <w:name w:val="toc 6"/>
    <w:basedOn w:val="Style_15"/>
    <w:next w:val="Style_15"/>
    <w:link w:val="Style_39_ch"/>
    <w:uiPriority w:val="39"/>
    <w:pPr>
      <w:ind w:firstLine="0" w:left="1200"/>
    </w:pPr>
    <w:rPr>
      <w:rFonts w:ascii="Calibri" w:hAnsi="Calibri"/>
      <w:sz w:val="20"/>
    </w:rPr>
  </w:style>
  <w:style w:styleId="Style_39_ch" w:type="character">
    <w:name w:val="toc 6"/>
    <w:basedOn w:val="Style_15_ch"/>
    <w:link w:val="Style_39"/>
    <w:rPr>
      <w:rFonts w:ascii="Calibri" w:hAnsi="Calibri"/>
      <w:sz w:val="20"/>
    </w:rPr>
  </w:style>
  <w:style w:styleId="Style_40" w:type="paragraph">
    <w:name w:val="xl151"/>
    <w:basedOn w:val="Style_15"/>
    <w:link w:val="Style_40_ch"/>
    <w:pPr>
      <w:spacing w:afterAutospacing="on" w:beforeAutospacing="on"/>
      <w:ind/>
      <w:jc w:val="center"/>
    </w:pPr>
    <w:rPr>
      <w:rFonts w:ascii="Times New Roman" w:hAnsi="Times New Roman"/>
      <w:i w:val="1"/>
      <w:sz w:val="14"/>
    </w:rPr>
  </w:style>
  <w:style w:styleId="Style_40_ch" w:type="character">
    <w:name w:val="xl151"/>
    <w:basedOn w:val="Style_15_ch"/>
    <w:link w:val="Style_40"/>
    <w:rPr>
      <w:rFonts w:ascii="Times New Roman" w:hAnsi="Times New Roman"/>
      <w:i w:val="1"/>
      <w:sz w:val="14"/>
    </w:rPr>
  </w:style>
  <w:style w:styleId="Style_41" w:type="paragraph">
    <w:name w:val="xl129"/>
    <w:basedOn w:val="Style_15"/>
    <w:link w:val="Style_41_ch"/>
    <w:pPr>
      <w:spacing w:afterAutospacing="on" w:beforeAutospacing="on"/>
      <w:ind/>
    </w:pPr>
    <w:rPr>
      <w:rFonts w:ascii="Times New Roman" w:hAnsi="Times New Roman"/>
      <w:b w:val="1"/>
      <w:i w:val="1"/>
      <w:color w:val="000000"/>
      <w:sz w:val="16"/>
    </w:rPr>
  </w:style>
  <w:style w:styleId="Style_41_ch" w:type="character">
    <w:name w:val="xl129"/>
    <w:basedOn w:val="Style_15_ch"/>
    <w:link w:val="Style_41"/>
    <w:rPr>
      <w:rFonts w:ascii="Times New Roman" w:hAnsi="Times New Roman"/>
      <w:b w:val="1"/>
      <w:i w:val="1"/>
      <w:color w:val="000000"/>
      <w:sz w:val="16"/>
    </w:rPr>
  </w:style>
  <w:style w:styleId="Style_42" w:type="paragraph">
    <w:name w:val="xl71"/>
    <w:basedOn w:val="Style_15"/>
    <w:link w:val="Style_42_ch"/>
    <w:pPr>
      <w:spacing w:afterAutospacing="on" w:beforeAutospacing="on"/>
      <w:ind/>
    </w:pPr>
    <w:rPr>
      <w:rFonts w:ascii="Times New Roman" w:hAnsi="Times New Roman"/>
      <w:sz w:val="14"/>
    </w:rPr>
  </w:style>
  <w:style w:styleId="Style_42_ch" w:type="character">
    <w:name w:val="xl71"/>
    <w:basedOn w:val="Style_15_ch"/>
    <w:link w:val="Style_42"/>
    <w:rPr>
      <w:rFonts w:ascii="Times New Roman" w:hAnsi="Times New Roman"/>
      <w:sz w:val="14"/>
    </w:rPr>
  </w:style>
  <w:style w:styleId="Style_43" w:type="paragraph">
    <w:name w:val="toc 7"/>
    <w:basedOn w:val="Style_15"/>
    <w:next w:val="Style_15"/>
    <w:link w:val="Style_43_ch"/>
    <w:uiPriority w:val="39"/>
    <w:pPr>
      <w:ind w:firstLine="0" w:left="1440"/>
    </w:pPr>
    <w:rPr>
      <w:rFonts w:ascii="Calibri" w:hAnsi="Calibri"/>
      <w:sz w:val="20"/>
    </w:rPr>
  </w:style>
  <w:style w:styleId="Style_43_ch" w:type="character">
    <w:name w:val="toc 7"/>
    <w:basedOn w:val="Style_15_ch"/>
    <w:link w:val="Style_43"/>
    <w:rPr>
      <w:rFonts w:ascii="Calibri" w:hAnsi="Calibri"/>
      <w:sz w:val="20"/>
    </w:rPr>
  </w:style>
  <w:style w:styleId="Style_44" w:type="paragraph">
    <w:name w:val="xl133"/>
    <w:basedOn w:val="Style_15"/>
    <w:link w:val="Style_44_ch"/>
    <w:pPr>
      <w:spacing w:afterAutospacing="on" w:beforeAutospacing="on"/>
      <w:ind/>
    </w:pPr>
    <w:rPr>
      <w:rFonts w:ascii="Times New Roman" w:hAnsi="Times New Roman"/>
      <w:color w:val="FFFFFF"/>
      <w:sz w:val="24"/>
    </w:rPr>
  </w:style>
  <w:style w:styleId="Style_44_ch" w:type="character">
    <w:name w:val="xl133"/>
    <w:basedOn w:val="Style_15_ch"/>
    <w:link w:val="Style_44"/>
    <w:rPr>
      <w:rFonts w:ascii="Times New Roman" w:hAnsi="Times New Roman"/>
      <w:color w:val="FFFFFF"/>
      <w:sz w:val="24"/>
    </w:rPr>
  </w:style>
  <w:style w:styleId="Style_45" w:type="paragraph">
    <w:name w:val="xl69"/>
    <w:basedOn w:val="Style_15"/>
    <w:link w:val="Style_45_ch"/>
    <w:pPr>
      <w:spacing w:afterAutospacing="on" w:beforeAutospacing="on"/>
      <w:ind/>
    </w:pPr>
    <w:rPr>
      <w:rFonts w:ascii="Times New Roman" w:hAnsi="Times New Roman"/>
      <w:color w:val="000000"/>
      <w:sz w:val="16"/>
    </w:rPr>
  </w:style>
  <w:style w:styleId="Style_45_ch" w:type="character">
    <w:name w:val="xl69"/>
    <w:basedOn w:val="Style_15_ch"/>
    <w:link w:val="Style_45"/>
    <w:rPr>
      <w:rFonts w:ascii="Times New Roman" w:hAnsi="Times New Roman"/>
      <w:color w:val="000000"/>
      <w:sz w:val="16"/>
    </w:rPr>
  </w:style>
  <w:style w:styleId="Style_46" w:type="paragraph">
    <w:name w:val="xl100"/>
    <w:basedOn w:val="Style_15"/>
    <w:link w:val="Style_46_ch"/>
    <w:pPr>
      <w:spacing w:afterAutospacing="on" w:beforeAutospacing="on"/>
      <w:ind/>
    </w:pPr>
    <w:rPr>
      <w:rFonts w:ascii="Times New Roman" w:hAnsi="Times New Roman"/>
      <w:sz w:val="14"/>
    </w:rPr>
  </w:style>
  <w:style w:styleId="Style_46_ch" w:type="character">
    <w:name w:val="xl100"/>
    <w:basedOn w:val="Style_15_ch"/>
    <w:link w:val="Style_46"/>
    <w:rPr>
      <w:rFonts w:ascii="Times New Roman" w:hAnsi="Times New Roman"/>
      <w:sz w:val="14"/>
    </w:rPr>
  </w:style>
  <w:style w:styleId="Style_47" w:type="paragraph">
    <w:name w:val="Найденные слова"/>
    <w:link w:val="Style_47_ch"/>
    <w:rPr>
      <w:b w:val="1"/>
      <w:color w:val="26282F"/>
      <w:shd w:fill="FFF580" w:val="clear"/>
    </w:rPr>
  </w:style>
  <w:style w:styleId="Style_47_ch" w:type="character">
    <w:name w:val="Найденные слова"/>
    <w:link w:val="Style_47"/>
    <w:rPr>
      <w:b w:val="1"/>
      <w:color w:val="26282F"/>
      <w:shd w:fill="FFF580" w:val="clear"/>
    </w:rPr>
  </w:style>
  <w:style w:styleId="Style_48" w:type="paragraph">
    <w:name w:val="xl148"/>
    <w:basedOn w:val="Style_15"/>
    <w:link w:val="Style_48_ch"/>
    <w:pPr>
      <w:spacing w:afterAutospacing="on" w:beforeAutospacing="on"/>
      <w:ind/>
    </w:pPr>
    <w:rPr>
      <w:rFonts w:ascii="Times New Roman" w:hAnsi="Times New Roman"/>
      <w:b w:val="1"/>
      <w:sz w:val="16"/>
    </w:rPr>
  </w:style>
  <w:style w:styleId="Style_48_ch" w:type="character">
    <w:name w:val="xl148"/>
    <w:basedOn w:val="Style_15_ch"/>
    <w:link w:val="Style_48"/>
    <w:rPr>
      <w:rFonts w:ascii="Times New Roman" w:hAnsi="Times New Roman"/>
      <w:b w:val="1"/>
      <w:sz w:val="16"/>
    </w:rPr>
  </w:style>
  <w:style w:styleId="Style_49" w:type="paragraph">
    <w:name w:val="Body Text"/>
    <w:basedOn w:val="Style_15"/>
    <w:link w:val="Style_49_ch"/>
    <w:pPr>
      <w:widowControl w:val="0"/>
      <w:spacing w:after="120" w:before="120"/>
      <w:ind/>
      <w:jc w:val="both"/>
    </w:pPr>
    <w:rPr>
      <w:rFonts w:ascii="Times New Roman" w:hAnsi="Times New Roman"/>
      <w:sz w:val="24"/>
    </w:rPr>
  </w:style>
  <w:style w:styleId="Style_49_ch" w:type="character">
    <w:name w:val="Body Text"/>
    <w:basedOn w:val="Style_15_ch"/>
    <w:link w:val="Style_49"/>
    <w:rPr>
      <w:rFonts w:ascii="Times New Roman" w:hAnsi="Times New Roman"/>
      <w:sz w:val="24"/>
    </w:rPr>
  </w:style>
  <w:style w:styleId="Style_50" w:type="paragraph">
    <w:name w:val="Выделение для Базового Поиска (курсив)"/>
    <w:link w:val="Style_50_ch"/>
    <w:rPr>
      <w:b w:val="1"/>
      <w:i w:val="1"/>
      <w:color w:val="0058A9"/>
    </w:rPr>
  </w:style>
  <w:style w:styleId="Style_50_ch" w:type="character">
    <w:name w:val="Выделение для Базового Поиска (курсив)"/>
    <w:link w:val="Style_50"/>
    <w:rPr>
      <w:b w:val="1"/>
      <w:i w:val="1"/>
      <w:color w:val="0058A9"/>
    </w:rPr>
  </w:style>
  <w:style w:styleId="Style_51" w:type="paragraph">
    <w:name w:val="c18"/>
    <w:basedOn w:val="Style_15"/>
    <w:link w:val="Style_51_ch"/>
    <w:pPr>
      <w:spacing w:afterAutospacing="on" w:beforeAutospacing="on"/>
      <w:ind/>
    </w:pPr>
    <w:rPr>
      <w:rFonts w:ascii="Times New Roman" w:hAnsi="Times New Roman"/>
      <w:sz w:val="24"/>
    </w:rPr>
  </w:style>
  <w:style w:styleId="Style_51_ch" w:type="character">
    <w:name w:val="c18"/>
    <w:basedOn w:val="Style_15_ch"/>
    <w:link w:val="Style_51"/>
    <w:rPr>
      <w:rFonts w:ascii="Times New Roman" w:hAnsi="Times New Roman"/>
      <w:sz w:val="24"/>
    </w:rPr>
  </w:style>
  <w:style w:styleId="Style_52" w:type="paragraph">
    <w:name w:val="endnote reference"/>
    <w:link w:val="Style_52_ch"/>
    <w:rPr>
      <w:rFonts w:ascii="Times New Roman" w:hAnsi="Times New Roman"/>
      <w:vertAlign w:val="superscript"/>
    </w:rPr>
  </w:style>
  <w:style w:styleId="Style_52_ch" w:type="character">
    <w:name w:val="endnote reference"/>
    <w:link w:val="Style_52"/>
    <w:rPr>
      <w:rFonts w:ascii="Times New Roman" w:hAnsi="Times New Roman"/>
      <w:vertAlign w:val="superscript"/>
    </w:rPr>
  </w:style>
  <w:style w:styleId="Style_53" w:type="paragraph">
    <w:name w:val="xl175"/>
    <w:basedOn w:val="Style_15"/>
    <w:link w:val="Style_53_ch"/>
    <w:pPr>
      <w:spacing w:afterAutospacing="on" w:beforeAutospacing="on"/>
      <w:ind/>
      <w:jc w:val="center"/>
    </w:pPr>
    <w:rPr>
      <w:rFonts w:ascii="Times New Roman" w:hAnsi="Times New Roman"/>
      <w:i w:val="1"/>
      <w:sz w:val="14"/>
    </w:rPr>
  </w:style>
  <w:style w:styleId="Style_53_ch" w:type="character">
    <w:name w:val="xl175"/>
    <w:basedOn w:val="Style_15_ch"/>
    <w:link w:val="Style_53"/>
    <w:rPr>
      <w:rFonts w:ascii="Times New Roman" w:hAnsi="Times New Roman"/>
      <w:i w:val="1"/>
      <w:sz w:val="14"/>
    </w:rPr>
  </w:style>
  <w:style w:styleId="Style_54" w:type="paragraph">
    <w:name w:val="xl64"/>
    <w:basedOn w:val="Style_15"/>
    <w:link w:val="Style_54_ch"/>
    <w:pPr>
      <w:spacing w:afterAutospacing="on" w:beforeAutospacing="on"/>
      <w:ind/>
    </w:pPr>
    <w:rPr>
      <w:rFonts w:ascii="Times New Roman" w:hAnsi="Times New Roman"/>
      <w:sz w:val="24"/>
    </w:rPr>
  </w:style>
  <w:style w:styleId="Style_54_ch" w:type="character">
    <w:name w:val="xl64"/>
    <w:basedOn w:val="Style_15_ch"/>
    <w:link w:val="Style_54"/>
    <w:rPr>
      <w:rFonts w:ascii="Times New Roman" w:hAnsi="Times New Roman"/>
      <w:sz w:val="24"/>
    </w:rPr>
  </w:style>
  <w:style w:styleId="Style_55" w:type="paragraph">
    <w:name w:val="xl132"/>
    <w:basedOn w:val="Style_15"/>
    <w:link w:val="Style_55_ch"/>
    <w:pPr>
      <w:spacing w:afterAutospacing="on" w:beforeAutospacing="on"/>
      <w:ind/>
    </w:pPr>
    <w:rPr>
      <w:rFonts w:ascii="Times New Roman" w:hAnsi="Times New Roman"/>
      <w:sz w:val="24"/>
    </w:rPr>
  </w:style>
  <w:style w:styleId="Style_55_ch" w:type="character">
    <w:name w:val="xl132"/>
    <w:basedOn w:val="Style_15_ch"/>
    <w:link w:val="Style_55"/>
    <w:rPr>
      <w:rFonts w:ascii="Times New Roman" w:hAnsi="Times New Roman"/>
      <w:sz w:val="24"/>
    </w:rPr>
  </w:style>
  <w:style w:styleId="Style_56" w:type="paragraph">
    <w:name w:val="List 2"/>
    <w:basedOn w:val="Style_15"/>
    <w:link w:val="Style_56_ch"/>
    <w:pPr>
      <w:spacing w:after="120" w:before="120"/>
      <w:ind w:hanging="360" w:left="720"/>
      <w:jc w:val="both"/>
    </w:pPr>
    <w:rPr>
      <w:rFonts w:ascii="Arial" w:hAnsi="Arial"/>
      <w:sz w:val="20"/>
    </w:rPr>
  </w:style>
  <w:style w:styleId="Style_56_ch" w:type="character">
    <w:name w:val="List 2"/>
    <w:basedOn w:val="Style_15_ch"/>
    <w:link w:val="Style_56"/>
    <w:rPr>
      <w:rFonts w:ascii="Arial" w:hAnsi="Arial"/>
      <w:sz w:val="20"/>
    </w:rPr>
  </w:style>
  <w:style w:styleId="Style_57" w:type="paragraph">
    <w:name w:val="Прижатый влево"/>
    <w:basedOn w:val="Style_15"/>
    <w:next w:val="Style_15"/>
    <w:link w:val="Style_57_ch"/>
    <w:pPr>
      <w:widowControl w:val="0"/>
      <w:spacing w:line="360" w:lineRule="auto"/>
      <w:ind/>
    </w:pPr>
    <w:rPr>
      <w:rFonts w:ascii="Times New Roman" w:hAnsi="Times New Roman"/>
      <w:sz w:val="24"/>
    </w:rPr>
  </w:style>
  <w:style w:styleId="Style_57_ch" w:type="character">
    <w:name w:val="Прижатый влево"/>
    <w:basedOn w:val="Style_15_ch"/>
    <w:link w:val="Style_57"/>
    <w:rPr>
      <w:rFonts w:ascii="Times New Roman" w:hAnsi="Times New Roman"/>
      <w:sz w:val="24"/>
    </w:rPr>
  </w:style>
  <w:style w:styleId="Style_58" w:type="paragraph">
    <w:name w:val="xl98"/>
    <w:basedOn w:val="Style_15"/>
    <w:link w:val="Style_58_ch"/>
    <w:pPr>
      <w:spacing w:afterAutospacing="on" w:beforeAutospacing="on"/>
      <w:ind/>
    </w:pPr>
    <w:rPr>
      <w:rFonts w:ascii="Times New Roman" w:hAnsi="Times New Roman"/>
      <w:color w:val="FF0000"/>
      <w:sz w:val="14"/>
    </w:rPr>
  </w:style>
  <w:style w:styleId="Style_58_ch" w:type="character">
    <w:name w:val="xl98"/>
    <w:basedOn w:val="Style_15_ch"/>
    <w:link w:val="Style_58"/>
    <w:rPr>
      <w:rFonts w:ascii="Times New Roman" w:hAnsi="Times New Roman"/>
      <w:color w:val="FF0000"/>
      <w:sz w:val="14"/>
    </w:rPr>
  </w:style>
  <w:style w:styleId="Style_59" w:type="paragraph">
    <w:name w:val="ЭР-содержание (правое окно)"/>
    <w:basedOn w:val="Style_15"/>
    <w:next w:val="Style_15"/>
    <w:link w:val="Style_59_ch"/>
    <w:pPr>
      <w:widowControl w:val="0"/>
      <w:spacing w:before="300" w:line="360" w:lineRule="auto"/>
      <w:ind/>
    </w:pPr>
    <w:rPr>
      <w:rFonts w:ascii="Times New Roman" w:hAnsi="Times New Roman"/>
      <w:sz w:val="24"/>
    </w:rPr>
  </w:style>
  <w:style w:styleId="Style_59_ch" w:type="character">
    <w:name w:val="ЭР-содержание (правое окно)"/>
    <w:basedOn w:val="Style_15_ch"/>
    <w:link w:val="Style_59"/>
    <w:rPr>
      <w:rFonts w:ascii="Times New Roman" w:hAnsi="Times New Roman"/>
      <w:sz w:val="24"/>
    </w:rPr>
  </w:style>
  <w:style w:styleId="Style_60" w:type="paragraph">
    <w:name w:val="Footnote Text Char"/>
    <w:link w:val="Style_60_ch"/>
    <w:rPr>
      <w:rFonts w:ascii="Times New Roman" w:hAnsi="Times New Roman"/>
      <w:sz w:val="20"/>
    </w:rPr>
  </w:style>
  <w:style w:styleId="Style_60_ch" w:type="character">
    <w:name w:val="Footnote Text Char"/>
    <w:link w:val="Style_60"/>
    <w:rPr>
      <w:rFonts w:ascii="Times New Roman" w:hAnsi="Times New Roman"/>
      <w:sz w:val="20"/>
    </w:rPr>
  </w:style>
  <w:style w:styleId="Style_61" w:type="paragraph">
    <w:name w:val="Неразрешенное упоминание1"/>
    <w:basedOn w:val="Style_19"/>
    <w:link w:val="Style_61_ch"/>
    <w:rPr>
      <w:color w:val="605E5C"/>
      <w:shd w:fill="E1DFDD" w:val="clear"/>
    </w:rPr>
  </w:style>
  <w:style w:styleId="Style_61_ch" w:type="character">
    <w:name w:val="Неразрешенное упоминание1"/>
    <w:basedOn w:val="Style_19_ch"/>
    <w:link w:val="Style_61"/>
    <w:rPr>
      <w:color w:val="605E5C"/>
      <w:shd w:fill="E1DFDD" w:val="clear"/>
    </w:rPr>
  </w:style>
  <w:style w:styleId="Style_62" w:type="paragraph">
    <w:name w:val="xl84"/>
    <w:basedOn w:val="Style_15"/>
    <w:link w:val="Style_62_ch"/>
    <w:pPr>
      <w:spacing w:afterAutospacing="on" w:beforeAutospacing="on"/>
      <w:ind/>
    </w:pPr>
    <w:rPr>
      <w:rFonts w:ascii="Times New Roman" w:hAnsi="Times New Roman"/>
      <w:sz w:val="14"/>
    </w:rPr>
  </w:style>
  <w:style w:styleId="Style_62_ch" w:type="character">
    <w:name w:val="xl84"/>
    <w:basedOn w:val="Style_15_ch"/>
    <w:link w:val="Style_62"/>
    <w:rPr>
      <w:rFonts w:ascii="Times New Roman" w:hAnsi="Times New Roman"/>
      <w:sz w:val="14"/>
    </w:rPr>
  </w:style>
  <w:style w:styleId="Style_63" w:type="paragraph">
    <w:name w:val="Заголовок группы контролов"/>
    <w:basedOn w:val="Style_15"/>
    <w:next w:val="Style_15"/>
    <w:link w:val="Style_63_ch"/>
    <w:pPr>
      <w:widowControl w:val="0"/>
      <w:spacing w:line="360" w:lineRule="auto"/>
      <w:ind w:firstLine="720" w:left="0"/>
      <w:jc w:val="both"/>
    </w:pPr>
    <w:rPr>
      <w:rFonts w:ascii="Times New Roman" w:hAnsi="Times New Roman"/>
      <w:b w:val="1"/>
      <w:color w:val="000000"/>
      <w:sz w:val="24"/>
    </w:rPr>
  </w:style>
  <w:style w:styleId="Style_63_ch" w:type="character">
    <w:name w:val="Заголовок группы контролов"/>
    <w:basedOn w:val="Style_15_ch"/>
    <w:link w:val="Style_63"/>
    <w:rPr>
      <w:rFonts w:ascii="Times New Roman" w:hAnsi="Times New Roman"/>
      <w:b w:val="1"/>
      <w:color w:val="000000"/>
      <w:sz w:val="24"/>
    </w:rPr>
  </w:style>
  <w:style w:styleId="Style_64" w:type="paragraph">
    <w:name w:val="xl93"/>
    <w:basedOn w:val="Style_15"/>
    <w:link w:val="Style_64_ch"/>
    <w:pPr>
      <w:spacing w:afterAutospacing="on" w:beforeAutospacing="on"/>
      <w:ind/>
    </w:pPr>
    <w:rPr>
      <w:rFonts w:ascii="Times New Roman" w:hAnsi="Times New Roman"/>
      <w:sz w:val="24"/>
    </w:rPr>
  </w:style>
  <w:style w:styleId="Style_64_ch" w:type="character">
    <w:name w:val="xl93"/>
    <w:basedOn w:val="Style_15_ch"/>
    <w:link w:val="Style_64"/>
    <w:rPr>
      <w:rFonts w:ascii="Times New Roman" w:hAnsi="Times New Roman"/>
      <w:sz w:val="24"/>
    </w:rPr>
  </w:style>
  <w:style w:styleId="Style_65" w:type="paragraph">
    <w:name w:val="xl103"/>
    <w:basedOn w:val="Style_15"/>
    <w:link w:val="Style_65_ch"/>
    <w:pPr>
      <w:spacing w:afterAutospacing="on" w:beforeAutospacing="on"/>
      <w:ind/>
      <w:jc w:val="center"/>
    </w:pPr>
    <w:rPr>
      <w:rFonts w:ascii="Times New Roman" w:hAnsi="Times New Roman"/>
      <w:b w:val="1"/>
      <w:color w:val="000000"/>
      <w:sz w:val="16"/>
    </w:rPr>
  </w:style>
  <w:style w:styleId="Style_65_ch" w:type="character">
    <w:name w:val="xl103"/>
    <w:basedOn w:val="Style_15_ch"/>
    <w:link w:val="Style_65"/>
    <w:rPr>
      <w:rFonts w:ascii="Times New Roman" w:hAnsi="Times New Roman"/>
      <w:b w:val="1"/>
      <w:color w:val="000000"/>
      <w:sz w:val="16"/>
    </w:rPr>
  </w:style>
  <w:style w:styleId="Style_66" w:type="paragraph">
    <w:name w:val="Endnote"/>
    <w:basedOn w:val="Style_15"/>
    <w:link w:val="Style_66_ch"/>
    <w:rPr>
      <w:rFonts w:ascii="Calibri" w:hAnsi="Calibri"/>
      <w:sz w:val="20"/>
    </w:rPr>
  </w:style>
  <w:style w:styleId="Style_66_ch" w:type="character">
    <w:name w:val="Endnote"/>
    <w:basedOn w:val="Style_15_ch"/>
    <w:link w:val="Style_66"/>
    <w:rPr>
      <w:rFonts w:ascii="Calibri" w:hAnsi="Calibri"/>
      <w:sz w:val="20"/>
    </w:rPr>
  </w:style>
  <w:style w:styleId="Style_67" w:type="paragraph">
    <w:name w:val="heading 3"/>
    <w:basedOn w:val="Style_15"/>
    <w:next w:val="Style_15"/>
    <w:link w:val="Style_67_ch"/>
    <w:uiPriority w:val="9"/>
    <w:qFormat/>
    <w:pPr>
      <w:keepNext w:val="1"/>
      <w:spacing w:after="60" w:before="240"/>
      <w:ind/>
      <w:outlineLvl w:val="2"/>
    </w:pPr>
    <w:rPr>
      <w:rFonts w:ascii="Arial" w:hAnsi="Arial"/>
      <w:b w:val="1"/>
      <w:sz w:val="26"/>
    </w:rPr>
  </w:style>
  <w:style w:styleId="Style_67_ch" w:type="character">
    <w:name w:val="heading 3"/>
    <w:basedOn w:val="Style_15_ch"/>
    <w:link w:val="Style_67"/>
    <w:rPr>
      <w:rFonts w:ascii="Arial" w:hAnsi="Arial"/>
      <w:b w:val="1"/>
      <w:sz w:val="26"/>
    </w:rPr>
  </w:style>
  <w:style w:styleId="Style_68" w:type="paragraph">
    <w:name w:val="xl94"/>
    <w:basedOn w:val="Style_15"/>
    <w:link w:val="Style_68_ch"/>
    <w:pPr>
      <w:spacing w:afterAutospacing="on" w:beforeAutospacing="on"/>
      <w:ind/>
    </w:pPr>
    <w:rPr>
      <w:rFonts w:ascii="Times New Roman" w:hAnsi="Times New Roman"/>
      <w:color w:val="FFFFFF"/>
      <w:sz w:val="14"/>
    </w:rPr>
  </w:style>
  <w:style w:styleId="Style_68_ch" w:type="character">
    <w:name w:val="xl94"/>
    <w:basedOn w:val="Style_15_ch"/>
    <w:link w:val="Style_68"/>
    <w:rPr>
      <w:rFonts w:ascii="Times New Roman" w:hAnsi="Times New Roman"/>
      <w:color w:val="FFFFFF"/>
      <w:sz w:val="14"/>
    </w:rPr>
  </w:style>
  <w:style w:styleId="Style_69" w:type="paragraph">
    <w:name w:val="Ссылка на утративший силу документ"/>
    <w:link w:val="Style_69_ch"/>
    <w:rPr>
      <w:b w:val="1"/>
      <w:color w:val="749232"/>
    </w:rPr>
  </w:style>
  <w:style w:styleId="Style_69_ch" w:type="character">
    <w:name w:val="Ссылка на утративший силу документ"/>
    <w:link w:val="Style_69"/>
    <w:rPr>
      <w:b w:val="1"/>
      <w:color w:val="749232"/>
    </w:rPr>
  </w:style>
  <w:style w:styleId="Style_70" w:type="paragraph">
    <w:name w:val="xl174"/>
    <w:basedOn w:val="Style_15"/>
    <w:link w:val="Style_70_ch"/>
    <w:pPr>
      <w:spacing w:afterAutospacing="on" w:beforeAutospacing="on"/>
      <w:ind/>
      <w:jc w:val="center"/>
    </w:pPr>
    <w:rPr>
      <w:rFonts w:ascii="Times New Roman" w:hAnsi="Times New Roman"/>
      <w:i w:val="1"/>
      <w:sz w:val="14"/>
    </w:rPr>
  </w:style>
  <w:style w:styleId="Style_70_ch" w:type="character">
    <w:name w:val="xl174"/>
    <w:basedOn w:val="Style_15_ch"/>
    <w:link w:val="Style_70"/>
    <w:rPr>
      <w:rFonts w:ascii="Times New Roman" w:hAnsi="Times New Roman"/>
      <w:i w:val="1"/>
      <w:sz w:val="14"/>
    </w:rPr>
  </w:style>
  <w:style w:styleId="Style_71" w:type="paragraph">
    <w:name w:val="xl161"/>
    <w:basedOn w:val="Style_15"/>
    <w:link w:val="Style_71_ch"/>
    <w:pPr>
      <w:spacing w:afterAutospacing="on" w:beforeAutospacing="on"/>
      <w:ind/>
      <w:jc w:val="center"/>
    </w:pPr>
    <w:rPr>
      <w:rFonts w:ascii="Times New Roman" w:hAnsi="Times New Roman"/>
      <w:b w:val="1"/>
      <w:sz w:val="16"/>
    </w:rPr>
  </w:style>
  <w:style w:styleId="Style_71_ch" w:type="character">
    <w:name w:val="xl161"/>
    <w:basedOn w:val="Style_15_ch"/>
    <w:link w:val="Style_71"/>
    <w:rPr>
      <w:rFonts w:ascii="Times New Roman" w:hAnsi="Times New Roman"/>
      <w:b w:val="1"/>
      <w:sz w:val="16"/>
    </w:rPr>
  </w:style>
  <w:style w:styleId="Style_72" w:type="paragraph">
    <w:name w:val="xl102"/>
    <w:basedOn w:val="Style_15"/>
    <w:link w:val="Style_72_ch"/>
    <w:pPr>
      <w:spacing w:afterAutospacing="on" w:beforeAutospacing="on"/>
      <w:ind/>
    </w:pPr>
    <w:rPr>
      <w:rFonts w:ascii="Times New Roman" w:hAnsi="Times New Roman"/>
      <w:color w:val="000000"/>
      <w:sz w:val="16"/>
    </w:rPr>
  </w:style>
  <w:style w:styleId="Style_72_ch" w:type="character">
    <w:name w:val="xl102"/>
    <w:basedOn w:val="Style_15_ch"/>
    <w:link w:val="Style_72"/>
    <w:rPr>
      <w:rFonts w:ascii="Times New Roman" w:hAnsi="Times New Roman"/>
      <w:color w:val="000000"/>
      <w:sz w:val="16"/>
    </w:rPr>
  </w:style>
  <w:style w:styleId="Style_73" w:type="paragraph">
    <w:name w:val="Внимание: недобросовестность!"/>
    <w:basedOn w:val="Style_26"/>
    <w:next w:val="Style_15"/>
    <w:link w:val="Style_73_ch"/>
  </w:style>
  <w:style w:styleId="Style_73_ch" w:type="character">
    <w:name w:val="Внимание: недобросовестность!"/>
    <w:basedOn w:val="Style_26_ch"/>
    <w:link w:val="Style_73"/>
  </w:style>
  <w:style w:styleId="Style_26" w:type="paragraph">
    <w:name w:val="Внимание"/>
    <w:basedOn w:val="Style_15"/>
    <w:next w:val="Style_15"/>
    <w:link w:val="Style_26_ch"/>
    <w:pPr>
      <w:widowControl w:val="0"/>
      <w:spacing w:after="240" w:before="240" w:line="360" w:lineRule="auto"/>
      <w:ind w:firstLine="300" w:left="420" w:right="420"/>
      <w:jc w:val="both"/>
    </w:pPr>
    <w:rPr>
      <w:rFonts w:ascii="Times New Roman" w:hAnsi="Times New Roman"/>
      <w:sz w:val="24"/>
    </w:rPr>
  </w:style>
  <w:style w:styleId="Style_26_ch" w:type="character">
    <w:name w:val="Внимание"/>
    <w:basedOn w:val="Style_15_ch"/>
    <w:link w:val="Style_26"/>
    <w:rPr>
      <w:rFonts w:ascii="Times New Roman" w:hAnsi="Times New Roman"/>
      <w:sz w:val="24"/>
    </w:rPr>
  </w:style>
  <w:style w:styleId="Style_74" w:type="paragraph">
    <w:name w:val="xl140"/>
    <w:basedOn w:val="Style_15"/>
    <w:link w:val="Style_74_ch"/>
    <w:pPr>
      <w:spacing w:afterAutospacing="on" w:beforeAutospacing="on"/>
      <w:ind/>
    </w:pPr>
    <w:rPr>
      <w:rFonts w:ascii="Times New Roman" w:hAnsi="Times New Roman"/>
      <w:b w:val="1"/>
      <w:sz w:val="16"/>
    </w:rPr>
  </w:style>
  <w:style w:styleId="Style_74_ch" w:type="character">
    <w:name w:val="xl140"/>
    <w:basedOn w:val="Style_15_ch"/>
    <w:link w:val="Style_74"/>
    <w:rPr>
      <w:rFonts w:ascii="Times New Roman" w:hAnsi="Times New Roman"/>
      <w:b w:val="1"/>
      <w:sz w:val="16"/>
    </w:rPr>
  </w:style>
  <w:style w:styleId="Style_75" w:type="paragraph">
    <w:name w:val="apple-converted-space"/>
    <w:link w:val="Style_75_ch"/>
  </w:style>
  <w:style w:styleId="Style_75_ch" w:type="character">
    <w:name w:val="apple-converted-space"/>
    <w:link w:val="Style_75"/>
  </w:style>
  <w:style w:styleId="Style_76" w:type="paragraph">
    <w:name w:val="c15"/>
    <w:basedOn w:val="Style_19"/>
    <w:link w:val="Style_76_ch"/>
  </w:style>
  <w:style w:styleId="Style_76_ch" w:type="character">
    <w:name w:val="c15"/>
    <w:basedOn w:val="Style_19_ch"/>
    <w:link w:val="Style_76"/>
  </w:style>
  <w:style w:styleId="Style_77" w:type="paragraph">
    <w:name w:val="c7"/>
    <w:link w:val="Style_77_ch"/>
  </w:style>
  <w:style w:styleId="Style_77_ch" w:type="character">
    <w:name w:val="c7"/>
    <w:link w:val="Style_77"/>
  </w:style>
  <w:style w:styleId="Style_78" w:type="paragraph">
    <w:name w:val="xl166"/>
    <w:basedOn w:val="Style_15"/>
    <w:link w:val="Style_78_ch"/>
    <w:pPr>
      <w:spacing w:afterAutospacing="on" w:beforeAutospacing="on"/>
      <w:ind/>
      <w:jc w:val="center"/>
    </w:pPr>
    <w:rPr>
      <w:rFonts w:ascii="Times New Roman" w:hAnsi="Times New Roman"/>
      <w:b w:val="1"/>
      <w:sz w:val="14"/>
    </w:rPr>
  </w:style>
  <w:style w:styleId="Style_78_ch" w:type="character">
    <w:name w:val="xl166"/>
    <w:basedOn w:val="Style_15_ch"/>
    <w:link w:val="Style_78"/>
    <w:rPr>
      <w:rFonts w:ascii="Times New Roman" w:hAnsi="Times New Roman"/>
      <w:b w:val="1"/>
      <w:sz w:val="14"/>
    </w:rPr>
  </w:style>
  <w:style w:styleId="Style_79" w:type="paragraph">
    <w:name w:val="Текст в таблице"/>
    <w:basedOn w:val="Style_80"/>
    <w:next w:val="Style_15"/>
    <w:link w:val="Style_79_ch"/>
    <w:pPr>
      <w:ind w:firstLine="500" w:left="0"/>
    </w:pPr>
  </w:style>
  <w:style w:styleId="Style_79_ch" w:type="character">
    <w:name w:val="Текст в таблице"/>
    <w:basedOn w:val="Style_80_ch"/>
    <w:link w:val="Style_79"/>
  </w:style>
  <w:style w:styleId="Style_81" w:type="paragraph">
    <w:name w:val="xl89"/>
    <w:basedOn w:val="Style_15"/>
    <w:link w:val="Style_81_ch"/>
    <w:pPr>
      <w:spacing w:afterAutospacing="on" w:beforeAutospacing="on"/>
      <w:ind/>
    </w:pPr>
    <w:rPr>
      <w:rFonts w:ascii="Times New Roman" w:hAnsi="Times New Roman"/>
      <w:i w:val="1"/>
      <w:sz w:val="14"/>
    </w:rPr>
  </w:style>
  <w:style w:styleId="Style_81_ch" w:type="character">
    <w:name w:val="xl89"/>
    <w:basedOn w:val="Style_15_ch"/>
    <w:link w:val="Style_81"/>
    <w:rPr>
      <w:rFonts w:ascii="Times New Roman" w:hAnsi="Times New Roman"/>
      <w:i w:val="1"/>
      <w:sz w:val="14"/>
    </w:rPr>
  </w:style>
  <w:style w:styleId="Style_82" w:type="paragraph">
    <w:name w:val="Гипертекстовая ссылка"/>
    <w:link w:val="Style_82_ch"/>
    <w:rPr>
      <w:b w:val="1"/>
      <w:color w:val="106BBE"/>
    </w:rPr>
  </w:style>
  <w:style w:styleId="Style_82_ch" w:type="character">
    <w:name w:val="Гипертекстовая ссылка"/>
    <w:link w:val="Style_82"/>
    <w:rPr>
      <w:b w:val="1"/>
      <w:color w:val="106BBE"/>
    </w:rPr>
  </w:style>
  <w:style w:styleId="Style_83" w:type="paragraph">
    <w:name w:val="таблСлева12"/>
    <w:basedOn w:val="Style_15"/>
    <w:link w:val="Style_83_ch"/>
    <w:rPr>
      <w:rFonts w:ascii="Segoe UI" w:hAnsi="Segoe UI"/>
      <w:sz w:val="24"/>
    </w:rPr>
  </w:style>
  <w:style w:styleId="Style_83_ch" w:type="character">
    <w:name w:val="таблСлева12"/>
    <w:basedOn w:val="Style_15_ch"/>
    <w:link w:val="Style_83"/>
    <w:rPr>
      <w:rFonts w:ascii="Segoe UI" w:hAnsi="Segoe UI"/>
      <w:sz w:val="24"/>
    </w:rPr>
  </w:style>
  <w:style w:styleId="Style_84" w:type="paragraph">
    <w:name w:val="Текст (прав. подпись)"/>
    <w:basedOn w:val="Style_15"/>
    <w:next w:val="Style_15"/>
    <w:link w:val="Style_84_ch"/>
    <w:pPr>
      <w:widowControl w:val="0"/>
      <w:spacing w:line="360" w:lineRule="auto"/>
      <w:ind/>
      <w:jc w:val="right"/>
    </w:pPr>
    <w:rPr>
      <w:rFonts w:ascii="Times New Roman" w:hAnsi="Times New Roman"/>
      <w:sz w:val="24"/>
    </w:rPr>
  </w:style>
  <w:style w:styleId="Style_84_ch" w:type="character">
    <w:name w:val="Текст (прав. подпись)"/>
    <w:basedOn w:val="Style_15_ch"/>
    <w:link w:val="Style_84"/>
    <w:rPr>
      <w:rFonts w:ascii="Times New Roman" w:hAnsi="Times New Roman"/>
      <w:sz w:val="24"/>
    </w:rPr>
  </w:style>
  <w:style w:styleId="Style_85" w:type="paragraph">
    <w:name w:val="xl78"/>
    <w:basedOn w:val="Style_15"/>
    <w:link w:val="Style_85_ch"/>
    <w:pPr>
      <w:spacing w:afterAutospacing="on" w:beforeAutospacing="on"/>
      <w:ind/>
    </w:pPr>
    <w:rPr>
      <w:rFonts w:ascii="Times New Roman" w:hAnsi="Times New Roman"/>
      <w:sz w:val="14"/>
    </w:rPr>
  </w:style>
  <w:style w:styleId="Style_85_ch" w:type="character">
    <w:name w:val="xl78"/>
    <w:basedOn w:val="Style_15_ch"/>
    <w:link w:val="Style_85"/>
    <w:rPr>
      <w:rFonts w:ascii="Times New Roman" w:hAnsi="Times New Roman"/>
      <w:sz w:val="14"/>
    </w:rPr>
  </w:style>
  <w:style w:styleId="Style_86" w:type="paragraph">
    <w:name w:val="xl165"/>
    <w:basedOn w:val="Style_15"/>
    <w:link w:val="Style_86_ch"/>
    <w:pPr>
      <w:spacing w:afterAutospacing="on" w:beforeAutospacing="on"/>
      <w:ind/>
    </w:pPr>
    <w:rPr>
      <w:rFonts w:ascii="Times New Roman" w:hAnsi="Times New Roman"/>
      <w:sz w:val="14"/>
    </w:rPr>
  </w:style>
  <w:style w:styleId="Style_86_ch" w:type="character">
    <w:name w:val="xl165"/>
    <w:basedOn w:val="Style_15_ch"/>
    <w:link w:val="Style_86"/>
    <w:rPr>
      <w:rFonts w:ascii="Times New Roman" w:hAnsi="Times New Roman"/>
      <w:sz w:val="14"/>
    </w:rPr>
  </w:style>
  <w:style w:styleId="Style_87" w:type="paragraph">
    <w:name w:val="TOC Heading"/>
    <w:basedOn w:val="Style_3"/>
    <w:next w:val="Style_15"/>
    <w:link w:val="Style_87_ch"/>
    <w:pPr>
      <w:keepNext w:val="1"/>
      <w:keepLines w:val="1"/>
      <w:spacing w:after="0" w:before="240" w:line="264" w:lineRule="auto"/>
      <w:ind w:firstLine="709" w:left="0"/>
      <w:outlineLvl w:val="8"/>
    </w:pPr>
    <w:rPr>
      <w:rFonts w:ascii="@Batang" w:hAnsi="@Batang"/>
      <w:b w:val="0"/>
      <w:color w:val="2F5496"/>
    </w:rPr>
  </w:style>
  <w:style w:styleId="Style_87_ch" w:type="character">
    <w:name w:val="TOC Heading"/>
    <w:basedOn w:val="Style_3_ch"/>
    <w:link w:val="Style_87"/>
    <w:rPr>
      <w:rFonts w:ascii="@Batang" w:hAnsi="@Batang"/>
      <w:b w:val="0"/>
      <w:color w:val="2F5496"/>
    </w:rPr>
  </w:style>
  <w:style w:styleId="Style_88" w:type="paragraph">
    <w:name w:val="Balloon Text"/>
    <w:basedOn w:val="Style_15"/>
    <w:link w:val="Style_88_ch"/>
    <w:rPr>
      <w:rFonts w:ascii="Segoe UI" w:hAnsi="Segoe UI"/>
      <w:sz w:val="18"/>
    </w:rPr>
  </w:style>
  <w:style w:styleId="Style_88_ch" w:type="character">
    <w:name w:val="Balloon Text"/>
    <w:basedOn w:val="Style_15_ch"/>
    <w:link w:val="Style_88"/>
    <w:rPr>
      <w:rFonts w:ascii="Segoe UI" w:hAnsi="Segoe UI"/>
      <w:sz w:val="18"/>
    </w:rPr>
  </w:style>
  <w:style w:styleId="Style_89" w:type="paragraph">
    <w:name w:val="Заголовок своего сообщения"/>
    <w:link w:val="Style_89_ch"/>
    <w:rPr>
      <w:b w:val="1"/>
      <w:color w:val="26282F"/>
    </w:rPr>
  </w:style>
  <w:style w:styleId="Style_89_ch" w:type="character">
    <w:name w:val="Заголовок своего сообщения"/>
    <w:link w:val="Style_89"/>
    <w:rPr>
      <w:b w:val="1"/>
      <w:color w:val="26282F"/>
    </w:rPr>
  </w:style>
  <w:style w:styleId="Style_90" w:type="paragraph">
    <w:name w:val="xl157"/>
    <w:basedOn w:val="Style_15"/>
    <w:link w:val="Style_90_ch"/>
    <w:pPr>
      <w:spacing w:afterAutospacing="on" w:beforeAutospacing="on"/>
      <w:ind/>
      <w:jc w:val="center"/>
    </w:pPr>
    <w:rPr>
      <w:rFonts w:ascii="Times New Roman" w:hAnsi="Times New Roman"/>
      <w:b w:val="1"/>
      <w:sz w:val="24"/>
    </w:rPr>
  </w:style>
  <w:style w:styleId="Style_90_ch" w:type="character">
    <w:name w:val="xl157"/>
    <w:basedOn w:val="Style_15_ch"/>
    <w:link w:val="Style_90"/>
    <w:rPr>
      <w:rFonts w:ascii="Times New Roman" w:hAnsi="Times New Roman"/>
      <w:b w:val="1"/>
      <w:sz w:val="24"/>
    </w:rPr>
  </w:style>
  <w:style w:styleId="Style_91" w:type="paragraph">
    <w:name w:val="Дочерний элемент списка"/>
    <w:basedOn w:val="Style_15"/>
    <w:next w:val="Style_15"/>
    <w:link w:val="Style_91_ch"/>
    <w:pPr>
      <w:widowControl w:val="0"/>
      <w:spacing w:line="360" w:lineRule="auto"/>
      <w:ind/>
      <w:jc w:val="both"/>
    </w:pPr>
    <w:rPr>
      <w:rFonts w:ascii="Times New Roman" w:hAnsi="Times New Roman"/>
      <w:color w:val="868381"/>
      <w:sz w:val="20"/>
    </w:rPr>
  </w:style>
  <w:style w:styleId="Style_91_ch" w:type="character">
    <w:name w:val="Дочерний элемент списка"/>
    <w:basedOn w:val="Style_15_ch"/>
    <w:link w:val="Style_91"/>
    <w:rPr>
      <w:rFonts w:ascii="Times New Roman" w:hAnsi="Times New Roman"/>
      <w:color w:val="868381"/>
      <w:sz w:val="20"/>
    </w:rPr>
  </w:style>
  <w:style w:styleId="Style_92" w:type="paragraph">
    <w:name w:val="Оглавление"/>
    <w:basedOn w:val="Style_93"/>
    <w:next w:val="Style_15"/>
    <w:link w:val="Style_92_ch"/>
    <w:pPr>
      <w:ind w:firstLine="0" w:left="140"/>
    </w:pPr>
  </w:style>
  <w:style w:styleId="Style_92_ch" w:type="character">
    <w:name w:val="Оглавление"/>
    <w:basedOn w:val="Style_93_ch"/>
    <w:link w:val="Style_92"/>
  </w:style>
  <w:style w:styleId="Style_94" w:type="paragraph">
    <w:name w:val="xl74"/>
    <w:basedOn w:val="Style_15"/>
    <w:link w:val="Style_94_ch"/>
    <w:pPr>
      <w:spacing w:afterAutospacing="on" w:beforeAutospacing="on"/>
      <w:ind/>
    </w:pPr>
    <w:rPr>
      <w:rFonts w:ascii="Times New Roman" w:hAnsi="Times New Roman"/>
      <w:color w:val="000000"/>
      <w:sz w:val="16"/>
    </w:rPr>
  </w:style>
  <w:style w:styleId="Style_94_ch" w:type="character">
    <w:name w:val="xl74"/>
    <w:basedOn w:val="Style_15_ch"/>
    <w:link w:val="Style_94"/>
    <w:rPr>
      <w:rFonts w:ascii="Times New Roman" w:hAnsi="Times New Roman"/>
      <w:color w:val="000000"/>
      <w:sz w:val="16"/>
    </w:rPr>
  </w:style>
  <w:style w:styleId="Style_95" w:type="paragraph">
    <w:name w:val="Переменная часть"/>
    <w:basedOn w:val="Style_96"/>
    <w:next w:val="Style_15"/>
    <w:link w:val="Style_95_ch"/>
    <w:rPr>
      <w:sz w:val="18"/>
    </w:rPr>
  </w:style>
  <w:style w:styleId="Style_95_ch" w:type="character">
    <w:name w:val="Переменная часть"/>
    <w:basedOn w:val="Style_96_ch"/>
    <w:link w:val="Style_95"/>
    <w:rPr>
      <w:sz w:val="18"/>
    </w:rPr>
  </w:style>
  <w:style w:styleId="Style_97" w:type="paragraph">
    <w:name w:val="xl105"/>
    <w:basedOn w:val="Style_15"/>
    <w:link w:val="Style_97_ch"/>
    <w:pPr>
      <w:spacing w:afterAutospacing="on" w:beforeAutospacing="on"/>
      <w:ind/>
      <w:jc w:val="center"/>
    </w:pPr>
    <w:rPr>
      <w:rFonts w:ascii="Times New Roman" w:hAnsi="Times New Roman"/>
      <w:b w:val="1"/>
      <w:color w:val="000000"/>
      <w:sz w:val="16"/>
    </w:rPr>
  </w:style>
  <w:style w:styleId="Style_97_ch" w:type="character">
    <w:name w:val="xl105"/>
    <w:basedOn w:val="Style_15_ch"/>
    <w:link w:val="Style_97"/>
    <w:rPr>
      <w:rFonts w:ascii="Times New Roman" w:hAnsi="Times New Roman"/>
      <w:b w:val="1"/>
      <w:color w:val="000000"/>
      <w:sz w:val="16"/>
    </w:rPr>
  </w:style>
  <w:style w:styleId="Style_98" w:type="paragraph">
    <w:name w:val="Обычный (Интернет) Знак"/>
    <w:link w:val="Style_98_ch"/>
    <w:rPr>
      <w:rFonts w:ascii="Times New Roman" w:hAnsi="Times New Roman"/>
      <w:sz w:val="24"/>
    </w:rPr>
  </w:style>
  <w:style w:styleId="Style_98_ch" w:type="character">
    <w:name w:val="Обычный (Интернет) Знак"/>
    <w:link w:val="Style_98"/>
    <w:rPr>
      <w:rFonts w:ascii="Times New Roman" w:hAnsi="Times New Roman"/>
      <w:sz w:val="24"/>
    </w:rPr>
  </w:style>
  <w:style w:styleId="Style_99" w:type="paragraph">
    <w:name w:val="Технический комментарий"/>
    <w:basedOn w:val="Style_15"/>
    <w:next w:val="Style_15"/>
    <w:link w:val="Style_99_ch"/>
    <w:pPr>
      <w:widowControl w:val="0"/>
      <w:spacing w:line="360" w:lineRule="auto"/>
      <w:ind/>
    </w:pPr>
    <w:rPr>
      <w:rFonts w:ascii="Times New Roman" w:hAnsi="Times New Roman"/>
      <w:color w:val="463F31"/>
      <w:sz w:val="24"/>
    </w:rPr>
  </w:style>
  <w:style w:styleId="Style_99_ch" w:type="character">
    <w:name w:val="Технический комментарий"/>
    <w:basedOn w:val="Style_15_ch"/>
    <w:link w:val="Style_99"/>
    <w:rPr>
      <w:rFonts w:ascii="Times New Roman" w:hAnsi="Times New Roman"/>
      <w:color w:val="463F31"/>
      <w:sz w:val="24"/>
    </w:rPr>
  </w:style>
  <w:style w:styleId="Style_100" w:type="paragraph">
    <w:name w:val="xl167"/>
    <w:basedOn w:val="Style_15"/>
    <w:link w:val="Style_100_ch"/>
    <w:pPr>
      <w:spacing w:afterAutospacing="on" w:beforeAutospacing="on"/>
      <w:ind/>
      <w:jc w:val="center"/>
    </w:pPr>
    <w:rPr>
      <w:rFonts w:ascii="Times New Roman" w:hAnsi="Times New Roman"/>
      <w:b w:val="1"/>
      <w:sz w:val="14"/>
    </w:rPr>
  </w:style>
  <w:style w:styleId="Style_100_ch" w:type="character">
    <w:name w:val="xl167"/>
    <w:basedOn w:val="Style_15_ch"/>
    <w:link w:val="Style_100"/>
    <w:rPr>
      <w:rFonts w:ascii="Times New Roman" w:hAnsi="Times New Roman"/>
      <w:b w:val="1"/>
      <w:sz w:val="14"/>
    </w:rPr>
  </w:style>
  <w:style w:styleId="Style_101" w:type="paragraph">
    <w:name w:val="xl158"/>
    <w:basedOn w:val="Style_15"/>
    <w:link w:val="Style_101_ch"/>
    <w:pPr>
      <w:spacing w:afterAutospacing="on" w:beforeAutospacing="on"/>
      <w:ind/>
      <w:jc w:val="center"/>
    </w:pPr>
    <w:rPr>
      <w:rFonts w:ascii="Times New Roman" w:hAnsi="Times New Roman"/>
      <w:b w:val="1"/>
      <w:sz w:val="16"/>
    </w:rPr>
  </w:style>
  <w:style w:styleId="Style_101_ch" w:type="character">
    <w:name w:val="xl158"/>
    <w:basedOn w:val="Style_15_ch"/>
    <w:link w:val="Style_101"/>
    <w:rPr>
      <w:rFonts w:ascii="Times New Roman" w:hAnsi="Times New Roman"/>
      <w:b w:val="1"/>
      <w:sz w:val="16"/>
    </w:rPr>
  </w:style>
  <w:style w:styleId="Style_102" w:type="paragraph">
    <w:name w:val="Выделение для Базового Поиска"/>
    <w:link w:val="Style_102_ch"/>
    <w:rPr>
      <w:b w:val="1"/>
      <w:color w:val="0058A9"/>
    </w:rPr>
  </w:style>
  <w:style w:styleId="Style_102_ch" w:type="character">
    <w:name w:val="Выделение для Базового Поиска"/>
    <w:link w:val="Style_102"/>
    <w:rPr>
      <w:b w:val="1"/>
      <w:color w:val="0058A9"/>
    </w:rPr>
  </w:style>
  <w:style w:styleId="Style_103" w:type="paragraph">
    <w:name w:val="xl154"/>
    <w:basedOn w:val="Style_15"/>
    <w:link w:val="Style_103_ch"/>
    <w:pPr>
      <w:spacing w:afterAutospacing="on" w:beforeAutospacing="on"/>
      <w:ind/>
      <w:jc w:val="center"/>
    </w:pPr>
    <w:rPr>
      <w:rFonts w:ascii="Times New Roman" w:hAnsi="Times New Roman"/>
      <w:i w:val="1"/>
      <w:sz w:val="14"/>
    </w:rPr>
  </w:style>
  <w:style w:styleId="Style_103_ch" w:type="character">
    <w:name w:val="xl154"/>
    <w:basedOn w:val="Style_15_ch"/>
    <w:link w:val="Style_103"/>
    <w:rPr>
      <w:rFonts w:ascii="Times New Roman" w:hAnsi="Times New Roman"/>
      <w:i w:val="1"/>
      <w:sz w:val="14"/>
    </w:rPr>
  </w:style>
  <w:style w:styleId="Style_104" w:type="paragraph">
    <w:name w:val="xl113"/>
    <w:basedOn w:val="Style_15"/>
    <w:link w:val="Style_104_ch"/>
    <w:pPr>
      <w:spacing w:afterAutospacing="on" w:beforeAutospacing="on"/>
      <w:ind/>
    </w:pPr>
    <w:rPr>
      <w:rFonts w:ascii="Times New Roman" w:hAnsi="Times New Roman"/>
      <w:color w:val="000000"/>
      <w:sz w:val="16"/>
    </w:rPr>
  </w:style>
  <w:style w:styleId="Style_104_ch" w:type="character">
    <w:name w:val="xl113"/>
    <w:basedOn w:val="Style_15_ch"/>
    <w:link w:val="Style_104"/>
    <w:rPr>
      <w:rFonts w:ascii="Times New Roman" w:hAnsi="Times New Roman"/>
      <w:color w:val="000000"/>
      <w:sz w:val="16"/>
    </w:rPr>
  </w:style>
  <w:style w:styleId="Style_105" w:type="paragraph">
    <w:name w:val="xl123"/>
    <w:basedOn w:val="Style_15"/>
    <w:link w:val="Style_105_ch"/>
    <w:pPr>
      <w:spacing w:afterAutospacing="on" w:beforeAutospacing="on"/>
      <w:ind/>
    </w:pPr>
    <w:rPr>
      <w:rFonts w:ascii="Times New Roman" w:hAnsi="Times New Roman"/>
      <w:b w:val="1"/>
      <w:color w:val="000000"/>
      <w:sz w:val="16"/>
    </w:rPr>
  </w:style>
  <w:style w:styleId="Style_105_ch" w:type="character">
    <w:name w:val="xl123"/>
    <w:basedOn w:val="Style_15_ch"/>
    <w:link w:val="Style_105"/>
    <w:rPr>
      <w:rFonts w:ascii="Times New Roman" w:hAnsi="Times New Roman"/>
      <w:b w:val="1"/>
      <w:color w:val="000000"/>
      <w:sz w:val="16"/>
    </w:rPr>
  </w:style>
  <w:style w:styleId="Style_106" w:type="paragraph">
    <w:name w:val="Неразрешенное упоминание2"/>
    <w:link w:val="Style_106_ch"/>
    <w:rPr>
      <w:color w:val="605E5C"/>
      <w:shd w:fill="E1DFDD" w:val="clear"/>
    </w:rPr>
  </w:style>
  <w:style w:styleId="Style_106_ch" w:type="character">
    <w:name w:val="Неразрешенное упоминание2"/>
    <w:link w:val="Style_106"/>
    <w:rPr>
      <w:color w:val="605E5C"/>
      <w:shd w:fill="E1DFDD" w:val="clear"/>
    </w:rPr>
  </w:style>
  <w:style w:styleId="Style_107" w:type="paragraph">
    <w:name w:val="Словарная статья"/>
    <w:basedOn w:val="Style_15"/>
    <w:next w:val="Style_15"/>
    <w:link w:val="Style_107_ch"/>
    <w:pPr>
      <w:widowControl w:val="0"/>
      <w:spacing w:line="360" w:lineRule="auto"/>
      <w:ind w:right="118"/>
      <w:jc w:val="both"/>
    </w:pPr>
    <w:rPr>
      <w:rFonts w:ascii="Times New Roman" w:hAnsi="Times New Roman"/>
      <w:sz w:val="24"/>
    </w:rPr>
  </w:style>
  <w:style w:styleId="Style_107_ch" w:type="character">
    <w:name w:val="Словарная статья"/>
    <w:basedOn w:val="Style_15_ch"/>
    <w:link w:val="Style_107"/>
    <w:rPr>
      <w:rFonts w:ascii="Times New Roman" w:hAnsi="Times New Roman"/>
      <w:sz w:val="24"/>
    </w:rPr>
  </w:style>
  <w:style w:styleId="Style_108" w:type="paragraph">
    <w:name w:val="Основной текст (2)"/>
    <w:basedOn w:val="Style_15"/>
    <w:link w:val="Style_108_ch"/>
    <w:pPr>
      <w:widowControl w:val="0"/>
      <w:spacing w:before="360" w:line="240" w:lineRule="atLeast"/>
      <w:ind/>
      <w:jc w:val="both"/>
    </w:pPr>
    <w:rPr>
      <w:sz w:val="28"/>
    </w:rPr>
  </w:style>
  <w:style w:styleId="Style_108_ch" w:type="character">
    <w:name w:val="Основной текст (2)"/>
    <w:basedOn w:val="Style_15_ch"/>
    <w:link w:val="Style_108"/>
    <w:rPr>
      <w:sz w:val="28"/>
    </w:rPr>
  </w:style>
  <w:style w:styleId="Style_109" w:type="paragraph">
    <w:name w:val="xl180"/>
    <w:basedOn w:val="Style_15"/>
    <w:link w:val="Style_109_ch"/>
    <w:pPr>
      <w:spacing w:afterAutospacing="on" w:beforeAutospacing="on"/>
      <w:ind/>
      <w:jc w:val="center"/>
    </w:pPr>
    <w:rPr>
      <w:rFonts w:ascii="Times New Roman" w:hAnsi="Times New Roman"/>
      <w:sz w:val="14"/>
    </w:rPr>
  </w:style>
  <w:style w:styleId="Style_109_ch" w:type="character">
    <w:name w:val="xl180"/>
    <w:basedOn w:val="Style_15_ch"/>
    <w:link w:val="Style_109"/>
    <w:rPr>
      <w:rFonts w:ascii="Times New Roman" w:hAnsi="Times New Roman"/>
      <w:sz w:val="14"/>
    </w:rPr>
  </w:style>
  <w:style w:styleId="Style_110" w:type="paragraph">
    <w:name w:val="s_1"/>
    <w:basedOn w:val="Style_15"/>
    <w:link w:val="Style_110_ch"/>
    <w:pPr>
      <w:spacing w:afterAutospacing="on" w:beforeAutospacing="on"/>
      <w:ind/>
    </w:pPr>
    <w:rPr>
      <w:rFonts w:ascii="Times New Roman" w:hAnsi="Times New Roman"/>
      <w:sz w:val="24"/>
    </w:rPr>
  </w:style>
  <w:style w:styleId="Style_110_ch" w:type="character">
    <w:name w:val="s_1"/>
    <w:basedOn w:val="Style_15_ch"/>
    <w:link w:val="Style_110"/>
    <w:rPr>
      <w:rFonts w:ascii="Times New Roman" w:hAnsi="Times New Roman"/>
      <w:sz w:val="24"/>
    </w:rPr>
  </w:style>
  <w:style w:styleId="Style_111" w:type="paragraph">
    <w:name w:val="pTextStyle"/>
    <w:basedOn w:val="Style_15"/>
    <w:link w:val="Style_111_ch"/>
    <w:pPr>
      <w:spacing w:line="252" w:lineRule="auto"/>
      <w:ind/>
    </w:pPr>
    <w:rPr>
      <w:rFonts w:ascii="Times New Roman" w:hAnsi="Times New Roman"/>
      <w:sz w:val="24"/>
    </w:rPr>
  </w:style>
  <w:style w:styleId="Style_111_ch" w:type="character">
    <w:name w:val="pTextStyle"/>
    <w:basedOn w:val="Style_15_ch"/>
    <w:link w:val="Style_111"/>
    <w:rPr>
      <w:rFonts w:ascii="Times New Roman" w:hAnsi="Times New Roman"/>
      <w:sz w:val="24"/>
    </w:rPr>
  </w:style>
  <w:style w:styleId="Style_112" w:type="paragraph">
    <w:name w:val="xl88"/>
    <w:basedOn w:val="Style_15"/>
    <w:link w:val="Style_112_ch"/>
    <w:pPr>
      <w:spacing w:afterAutospacing="on" w:beforeAutospacing="on"/>
      <w:ind/>
      <w:jc w:val="center"/>
    </w:pPr>
    <w:rPr>
      <w:rFonts w:ascii="Times New Roman" w:hAnsi="Times New Roman"/>
      <w:i w:val="1"/>
      <w:sz w:val="14"/>
    </w:rPr>
  </w:style>
  <w:style w:styleId="Style_112_ch" w:type="character">
    <w:name w:val="xl88"/>
    <w:basedOn w:val="Style_15_ch"/>
    <w:link w:val="Style_112"/>
    <w:rPr>
      <w:rFonts w:ascii="Times New Roman" w:hAnsi="Times New Roman"/>
      <w:i w:val="1"/>
      <w:sz w:val="14"/>
    </w:rPr>
  </w:style>
  <w:style w:styleId="Style_113" w:type="paragraph">
    <w:name w:val="xl134"/>
    <w:basedOn w:val="Style_15"/>
    <w:link w:val="Style_113_ch"/>
    <w:pPr>
      <w:spacing w:afterAutospacing="on" w:beforeAutospacing="on"/>
      <w:ind/>
    </w:pPr>
    <w:rPr>
      <w:rFonts w:ascii="Times New Roman" w:hAnsi="Times New Roman"/>
      <w:sz w:val="14"/>
    </w:rPr>
  </w:style>
  <w:style w:styleId="Style_113_ch" w:type="character">
    <w:name w:val="xl134"/>
    <w:basedOn w:val="Style_15_ch"/>
    <w:link w:val="Style_113"/>
    <w:rPr>
      <w:rFonts w:ascii="Times New Roman" w:hAnsi="Times New Roman"/>
      <w:sz w:val="14"/>
    </w:rPr>
  </w:style>
  <w:style w:styleId="Style_114" w:type="paragraph">
    <w:name w:val="xl159"/>
    <w:basedOn w:val="Style_15"/>
    <w:link w:val="Style_114_ch"/>
    <w:pPr>
      <w:spacing w:afterAutospacing="on" w:beforeAutospacing="on"/>
      <w:ind/>
      <w:jc w:val="center"/>
    </w:pPr>
    <w:rPr>
      <w:rFonts w:ascii="Times New Roman" w:hAnsi="Times New Roman"/>
      <w:b w:val="1"/>
      <w:sz w:val="16"/>
    </w:rPr>
  </w:style>
  <w:style w:styleId="Style_114_ch" w:type="character">
    <w:name w:val="xl159"/>
    <w:basedOn w:val="Style_15_ch"/>
    <w:link w:val="Style_114"/>
    <w:rPr>
      <w:rFonts w:ascii="Times New Roman" w:hAnsi="Times New Roman"/>
      <w:b w:val="1"/>
      <w:sz w:val="16"/>
    </w:rPr>
  </w:style>
  <w:style w:styleId="Style_115" w:type="paragraph">
    <w:name w:val="page number"/>
    <w:link w:val="Style_115_ch"/>
    <w:rPr>
      <w:rFonts w:ascii="Times New Roman" w:hAnsi="Times New Roman"/>
    </w:rPr>
  </w:style>
  <w:style w:styleId="Style_115_ch" w:type="character">
    <w:name w:val="page number"/>
    <w:link w:val="Style_115"/>
    <w:rPr>
      <w:rFonts w:ascii="Times New Roman" w:hAnsi="Times New Roman"/>
    </w:rPr>
  </w:style>
  <w:style w:styleId="Style_116" w:type="paragraph">
    <w:name w:val="xl73"/>
    <w:basedOn w:val="Style_15"/>
    <w:link w:val="Style_116_ch"/>
    <w:pPr>
      <w:spacing w:afterAutospacing="on" w:beforeAutospacing="on"/>
      <w:ind/>
    </w:pPr>
    <w:rPr>
      <w:rFonts w:ascii="Times New Roman" w:hAnsi="Times New Roman"/>
      <w:color w:val="000000"/>
      <w:sz w:val="16"/>
    </w:rPr>
  </w:style>
  <w:style w:styleId="Style_116_ch" w:type="character">
    <w:name w:val="xl73"/>
    <w:basedOn w:val="Style_15_ch"/>
    <w:link w:val="Style_116"/>
    <w:rPr>
      <w:rFonts w:ascii="Times New Roman" w:hAnsi="Times New Roman"/>
      <w:color w:val="000000"/>
      <w:sz w:val="16"/>
    </w:rPr>
  </w:style>
  <w:style w:styleId="Style_117" w:type="paragraph">
    <w:name w:val="xl146"/>
    <w:basedOn w:val="Style_15"/>
    <w:link w:val="Style_117_ch"/>
    <w:pPr>
      <w:spacing w:afterAutospacing="on" w:beforeAutospacing="on"/>
      <w:ind/>
    </w:pPr>
    <w:rPr>
      <w:rFonts w:ascii="Times New Roman" w:hAnsi="Times New Roman"/>
      <w:b w:val="1"/>
      <w:color w:val="000000"/>
      <w:sz w:val="16"/>
    </w:rPr>
  </w:style>
  <w:style w:styleId="Style_117_ch" w:type="character">
    <w:name w:val="xl146"/>
    <w:basedOn w:val="Style_15_ch"/>
    <w:link w:val="Style_117"/>
    <w:rPr>
      <w:rFonts w:ascii="Times New Roman" w:hAnsi="Times New Roman"/>
      <w:b w:val="1"/>
      <w:color w:val="000000"/>
      <w:sz w:val="16"/>
    </w:rPr>
  </w:style>
  <w:style w:styleId="Style_118" w:type="paragraph">
    <w:name w:val="xl155"/>
    <w:basedOn w:val="Style_15"/>
    <w:link w:val="Style_118_ch"/>
    <w:pPr>
      <w:spacing w:afterAutospacing="on" w:beforeAutospacing="on"/>
      <w:ind/>
      <w:jc w:val="center"/>
    </w:pPr>
    <w:rPr>
      <w:rFonts w:ascii="Times New Roman" w:hAnsi="Times New Roman"/>
      <w:i w:val="1"/>
      <w:sz w:val="14"/>
    </w:rPr>
  </w:style>
  <w:style w:styleId="Style_118_ch" w:type="character">
    <w:name w:val="xl155"/>
    <w:basedOn w:val="Style_15_ch"/>
    <w:link w:val="Style_118"/>
    <w:rPr>
      <w:rFonts w:ascii="Times New Roman" w:hAnsi="Times New Roman"/>
      <w:i w:val="1"/>
      <w:sz w:val="14"/>
    </w:rPr>
  </w:style>
  <w:style w:styleId="Style_119" w:type="paragraph">
    <w:name w:val="xl97"/>
    <w:basedOn w:val="Style_15"/>
    <w:link w:val="Style_119_ch"/>
    <w:pPr>
      <w:spacing w:afterAutospacing="on" w:beforeAutospacing="on"/>
      <w:ind/>
    </w:pPr>
    <w:rPr>
      <w:rFonts w:ascii="Times New Roman" w:hAnsi="Times New Roman"/>
      <w:color w:val="FF0000"/>
      <w:sz w:val="24"/>
    </w:rPr>
  </w:style>
  <w:style w:styleId="Style_119_ch" w:type="character">
    <w:name w:val="xl97"/>
    <w:basedOn w:val="Style_15_ch"/>
    <w:link w:val="Style_119"/>
    <w:rPr>
      <w:rFonts w:ascii="Times New Roman" w:hAnsi="Times New Roman"/>
      <w:color w:val="FF0000"/>
      <w:sz w:val="24"/>
    </w:rPr>
  </w:style>
  <w:style w:styleId="Style_120" w:type="paragraph">
    <w:name w:val="Table Paragraph"/>
    <w:basedOn w:val="Style_15"/>
    <w:link w:val="Style_120_ch"/>
    <w:pPr>
      <w:widowControl w:val="0"/>
      <w:ind/>
    </w:pPr>
    <w:rPr>
      <w:rFonts w:ascii="Times New Roman" w:hAnsi="Times New Roman"/>
    </w:rPr>
  </w:style>
  <w:style w:styleId="Style_120_ch" w:type="character">
    <w:name w:val="Table Paragraph"/>
    <w:basedOn w:val="Style_15_ch"/>
    <w:link w:val="Style_120"/>
    <w:rPr>
      <w:rFonts w:ascii="Times New Roman" w:hAnsi="Times New Roman"/>
    </w:rPr>
  </w:style>
  <w:style w:styleId="Style_121" w:type="paragraph">
    <w:name w:val="c21"/>
    <w:basedOn w:val="Style_19"/>
    <w:link w:val="Style_121_ch"/>
  </w:style>
  <w:style w:styleId="Style_121_ch" w:type="character">
    <w:name w:val="c21"/>
    <w:basedOn w:val="Style_19_ch"/>
    <w:link w:val="Style_121"/>
  </w:style>
  <w:style w:styleId="Style_122" w:type="paragraph">
    <w:name w:val="Текст примечания Знак11"/>
    <w:link w:val="Style_122_ch"/>
    <w:rPr>
      <w:rFonts w:ascii="Times New Roman" w:hAnsi="Times New Roman"/>
      <w:sz w:val="20"/>
    </w:rPr>
  </w:style>
  <w:style w:styleId="Style_122_ch" w:type="character">
    <w:name w:val="Текст примечания Знак11"/>
    <w:link w:val="Style_122"/>
    <w:rPr>
      <w:rFonts w:ascii="Times New Roman" w:hAnsi="Times New Roman"/>
      <w:sz w:val="20"/>
    </w:rPr>
  </w:style>
  <w:style w:styleId="Style_123" w:type="paragraph">
    <w:name w:val="xl82"/>
    <w:basedOn w:val="Style_15"/>
    <w:link w:val="Style_123_ch"/>
    <w:pPr>
      <w:spacing w:afterAutospacing="on" w:beforeAutospacing="on"/>
      <w:ind/>
    </w:pPr>
    <w:rPr>
      <w:rFonts w:ascii="Times New Roman" w:hAnsi="Times New Roman"/>
      <w:color w:val="FF0000"/>
      <w:sz w:val="14"/>
    </w:rPr>
  </w:style>
  <w:style w:styleId="Style_123_ch" w:type="character">
    <w:name w:val="xl82"/>
    <w:basedOn w:val="Style_15_ch"/>
    <w:link w:val="Style_123"/>
    <w:rPr>
      <w:rFonts w:ascii="Times New Roman" w:hAnsi="Times New Roman"/>
      <w:color w:val="FF0000"/>
      <w:sz w:val="14"/>
    </w:rPr>
  </w:style>
  <w:style w:styleId="Style_124" w:type="paragraph">
    <w:name w:val="Внимание: криминал!!"/>
    <w:basedOn w:val="Style_26"/>
    <w:next w:val="Style_15"/>
    <w:link w:val="Style_124_ch"/>
  </w:style>
  <w:style w:styleId="Style_124_ch" w:type="character">
    <w:name w:val="Внимание: криминал!!"/>
    <w:basedOn w:val="Style_26_ch"/>
    <w:link w:val="Style_124"/>
  </w:style>
  <w:style w:styleId="Style_125" w:type="paragraph">
    <w:name w:val="xl153"/>
    <w:basedOn w:val="Style_15"/>
    <w:link w:val="Style_125_ch"/>
    <w:pPr>
      <w:spacing w:afterAutospacing="on" w:beforeAutospacing="on"/>
      <w:ind/>
      <w:jc w:val="center"/>
    </w:pPr>
    <w:rPr>
      <w:rFonts w:ascii="Times New Roman" w:hAnsi="Times New Roman"/>
      <w:i w:val="1"/>
      <w:sz w:val="14"/>
    </w:rPr>
  </w:style>
  <w:style w:styleId="Style_125_ch" w:type="character">
    <w:name w:val="xl153"/>
    <w:basedOn w:val="Style_15_ch"/>
    <w:link w:val="Style_125"/>
    <w:rPr>
      <w:rFonts w:ascii="Times New Roman" w:hAnsi="Times New Roman"/>
      <w:i w:val="1"/>
      <w:sz w:val="14"/>
    </w:rPr>
  </w:style>
  <w:style w:styleId="Style_126" w:type="paragraph">
    <w:name w:val="Тема примечания Знак11"/>
    <w:link w:val="Style_126_ch"/>
    <w:rPr>
      <w:rFonts w:ascii="Times New Roman" w:hAnsi="Times New Roman"/>
      <w:b w:val="1"/>
      <w:sz w:val="20"/>
    </w:rPr>
  </w:style>
  <w:style w:styleId="Style_126_ch" w:type="character">
    <w:name w:val="Тема примечания Знак11"/>
    <w:link w:val="Style_126"/>
    <w:rPr>
      <w:rFonts w:ascii="Times New Roman" w:hAnsi="Times New Roman"/>
      <w:b w:val="1"/>
      <w:sz w:val="20"/>
    </w:rPr>
  </w:style>
  <w:style w:styleId="Style_127" w:type="paragraph">
    <w:name w:val="Нижний колонтитул Знак1"/>
    <w:basedOn w:val="Style_19"/>
    <w:link w:val="Style_127_ch"/>
    <w:rPr>
      <w:rFonts w:ascii="Calibri" w:hAnsi="Calibri"/>
    </w:rPr>
  </w:style>
  <w:style w:styleId="Style_127_ch" w:type="character">
    <w:name w:val="Нижний колонтитул Знак1"/>
    <w:basedOn w:val="Style_19_ch"/>
    <w:link w:val="Style_127"/>
    <w:rPr>
      <w:rFonts w:ascii="Calibri" w:hAnsi="Calibri"/>
    </w:rPr>
  </w:style>
  <w:style w:styleId="Style_128" w:type="paragraph">
    <w:name w:val="annotation subject"/>
    <w:basedOn w:val="Style_129"/>
    <w:next w:val="Style_129"/>
    <w:link w:val="Style_128_ch"/>
    <w:rPr>
      <w:b w:val="1"/>
    </w:rPr>
  </w:style>
  <w:style w:styleId="Style_128_ch" w:type="character">
    <w:name w:val="annotation subject"/>
    <w:basedOn w:val="Style_129_ch"/>
    <w:link w:val="Style_128"/>
    <w:rPr>
      <w:b w:val="1"/>
    </w:rPr>
  </w:style>
  <w:style w:styleId="Style_130" w:type="paragraph">
    <w:name w:val="xl75"/>
    <w:basedOn w:val="Style_15"/>
    <w:link w:val="Style_130_ch"/>
    <w:pPr>
      <w:spacing w:afterAutospacing="on" w:beforeAutospacing="on"/>
      <w:ind/>
      <w:jc w:val="center"/>
    </w:pPr>
    <w:rPr>
      <w:rFonts w:ascii="Times New Roman" w:hAnsi="Times New Roman"/>
      <w:sz w:val="16"/>
    </w:rPr>
  </w:style>
  <w:style w:styleId="Style_130_ch" w:type="character">
    <w:name w:val="xl75"/>
    <w:basedOn w:val="Style_15_ch"/>
    <w:link w:val="Style_130"/>
    <w:rPr>
      <w:rFonts w:ascii="Times New Roman" w:hAnsi="Times New Roman"/>
      <w:sz w:val="16"/>
    </w:rPr>
  </w:style>
  <w:style w:styleId="Style_131" w:type="paragraph">
    <w:name w:val="toc 3"/>
    <w:basedOn w:val="Style_15"/>
    <w:next w:val="Style_15"/>
    <w:link w:val="Style_131_ch"/>
    <w:uiPriority w:val="39"/>
    <w:pPr>
      <w:ind w:firstLine="0" w:left="480"/>
    </w:pPr>
    <w:rPr>
      <w:rFonts w:ascii="Times New Roman" w:hAnsi="Times New Roman"/>
      <w:sz w:val="28"/>
    </w:rPr>
  </w:style>
  <w:style w:styleId="Style_131_ch" w:type="character">
    <w:name w:val="toc 3"/>
    <w:basedOn w:val="Style_15_ch"/>
    <w:link w:val="Style_131"/>
    <w:rPr>
      <w:rFonts w:ascii="Times New Roman" w:hAnsi="Times New Roman"/>
      <w:sz w:val="28"/>
    </w:rPr>
  </w:style>
  <w:style w:styleId="Style_132" w:type="paragraph">
    <w:name w:val="pTextStyleCenter"/>
    <w:basedOn w:val="Style_15"/>
    <w:link w:val="Style_132_ch"/>
    <w:pPr>
      <w:spacing w:line="252" w:lineRule="auto"/>
      <w:ind/>
      <w:jc w:val="center"/>
    </w:pPr>
    <w:rPr>
      <w:rFonts w:ascii="Times New Roman" w:hAnsi="Times New Roman"/>
      <w:sz w:val="24"/>
    </w:rPr>
  </w:style>
  <w:style w:styleId="Style_132_ch" w:type="character">
    <w:name w:val="pTextStyleCenter"/>
    <w:basedOn w:val="Style_15_ch"/>
    <w:link w:val="Style_132"/>
    <w:rPr>
      <w:rFonts w:ascii="Times New Roman" w:hAnsi="Times New Roman"/>
      <w:sz w:val="24"/>
    </w:rPr>
  </w:style>
  <w:style w:styleId="Style_133" w:type="paragraph">
    <w:name w:val="xl179"/>
    <w:basedOn w:val="Style_15"/>
    <w:link w:val="Style_133_ch"/>
    <w:pPr>
      <w:spacing w:afterAutospacing="on" w:beforeAutospacing="on"/>
      <w:ind/>
      <w:jc w:val="center"/>
    </w:pPr>
    <w:rPr>
      <w:rFonts w:ascii="Times New Roman" w:hAnsi="Times New Roman"/>
      <w:sz w:val="14"/>
    </w:rPr>
  </w:style>
  <w:style w:styleId="Style_133_ch" w:type="character">
    <w:name w:val="xl179"/>
    <w:basedOn w:val="Style_15_ch"/>
    <w:link w:val="Style_133"/>
    <w:rPr>
      <w:rFonts w:ascii="Times New Roman" w:hAnsi="Times New Roman"/>
      <w:sz w:val="14"/>
    </w:rPr>
  </w:style>
  <w:style w:styleId="Style_134" w:type="paragraph">
    <w:name w:val="Продолжение ссылки"/>
    <w:link w:val="Style_134_ch"/>
  </w:style>
  <w:style w:styleId="Style_134_ch" w:type="character">
    <w:name w:val="Продолжение ссылки"/>
    <w:link w:val="Style_134"/>
  </w:style>
  <w:style w:styleId="Style_135" w:type="paragraph">
    <w:name w:val="xl130"/>
    <w:basedOn w:val="Style_15"/>
    <w:link w:val="Style_135_ch"/>
    <w:pPr>
      <w:spacing w:afterAutospacing="on" w:beforeAutospacing="on"/>
      <w:ind/>
      <w:jc w:val="center"/>
    </w:pPr>
    <w:rPr>
      <w:rFonts w:ascii="Times New Roman" w:hAnsi="Times New Roman"/>
      <w:b w:val="1"/>
      <w:sz w:val="16"/>
    </w:rPr>
  </w:style>
  <w:style w:styleId="Style_135_ch" w:type="character">
    <w:name w:val="xl130"/>
    <w:basedOn w:val="Style_15_ch"/>
    <w:link w:val="Style_135"/>
    <w:rPr>
      <w:rFonts w:ascii="Times New Roman" w:hAnsi="Times New Roman"/>
      <w:b w:val="1"/>
      <w:sz w:val="16"/>
    </w:rPr>
  </w:style>
  <w:style w:styleId="Style_136" w:type="paragraph">
    <w:name w:val="xl67"/>
    <w:basedOn w:val="Style_15"/>
    <w:link w:val="Style_136_ch"/>
    <w:pPr>
      <w:spacing w:afterAutospacing="on" w:beforeAutospacing="on"/>
      <w:ind/>
      <w:jc w:val="both"/>
    </w:pPr>
    <w:rPr>
      <w:rFonts w:ascii="Times New Roman" w:hAnsi="Times New Roman"/>
      <w:color w:val="000000"/>
      <w:sz w:val="16"/>
    </w:rPr>
  </w:style>
  <w:style w:styleId="Style_136_ch" w:type="character">
    <w:name w:val="xl67"/>
    <w:basedOn w:val="Style_15_ch"/>
    <w:link w:val="Style_136"/>
    <w:rPr>
      <w:rFonts w:ascii="Times New Roman" w:hAnsi="Times New Roman"/>
      <w:color w:val="000000"/>
      <w:sz w:val="16"/>
    </w:rPr>
  </w:style>
  <w:style w:styleId="Style_137" w:type="paragraph">
    <w:name w:val="xl169"/>
    <w:basedOn w:val="Style_15"/>
    <w:link w:val="Style_137_ch"/>
    <w:pPr>
      <w:spacing w:afterAutospacing="on" w:beforeAutospacing="on"/>
      <w:ind/>
      <w:jc w:val="center"/>
    </w:pPr>
    <w:rPr>
      <w:rFonts w:ascii="Times New Roman" w:hAnsi="Times New Roman"/>
      <w:i w:val="1"/>
      <w:sz w:val="14"/>
    </w:rPr>
  </w:style>
  <w:style w:styleId="Style_137_ch" w:type="character">
    <w:name w:val="xl169"/>
    <w:basedOn w:val="Style_15_ch"/>
    <w:link w:val="Style_137"/>
    <w:rPr>
      <w:rFonts w:ascii="Times New Roman" w:hAnsi="Times New Roman"/>
      <w:i w:val="1"/>
      <w:sz w:val="14"/>
    </w:rPr>
  </w:style>
  <w:style w:styleId="Style_138" w:type="paragraph">
    <w:name w:val="Сравнение редакций. Удаленный фрагмент"/>
    <w:link w:val="Style_138_ch"/>
    <w:rPr>
      <w:color w:val="000000"/>
      <w:shd w:fill="C4C413" w:val="clear"/>
    </w:rPr>
  </w:style>
  <w:style w:styleId="Style_138_ch" w:type="character">
    <w:name w:val="Сравнение редакций. Удаленный фрагмент"/>
    <w:link w:val="Style_138"/>
    <w:rPr>
      <w:color w:val="000000"/>
      <w:shd w:fill="C4C413" w:val="clear"/>
    </w:rPr>
  </w:style>
  <w:style w:styleId="Style_139" w:type="paragraph">
    <w:name w:val="xl156"/>
    <w:basedOn w:val="Style_15"/>
    <w:link w:val="Style_139_ch"/>
    <w:pPr>
      <w:spacing w:afterAutospacing="on" w:beforeAutospacing="on"/>
      <w:ind/>
      <w:jc w:val="center"/>
    </w:pPr>
    <w:rPr>
      <w:rFonts w:ascii="Times New Roman" w:hAnsi="Times New Roman"/>
      <w:b w:val="1"/>
      <w:sz w:val="24"/>
    </w:rPr>
  </w:style>
  <w:style w:styleId="Style_139_ch" w:type="character">
    <w:name w:val="xl156"/>
    <w:basedOn w:val="Style_15_ch"/>
    <w:link w:val="Style_139"/>
    <w:rPr>
      <w:rFonts w:ascii="Times New Roman" w:hAnsi="Times New Roman"/>
      <w:b w:val="1"/>
      <w:sz w:val="24"/>
    </w:rPr>
  </w:style>
  <w:style w:styleId="Style_140" w:type="paragraph">
    <w:name w:val="Body Text Indent 2"/>
    <w:basedOn w:val="Style_15"/>
    <w:link w:val="Style_140_ch"/>
    <w:pPr>
      <w:spacing w:after="120" w:line="480" w:lineRule="auto"/>
      <w:ind w:firstLine="0" w:left="283"/>
    </w:pPr>
    <w:rPr>
      <w:rFonts w:ascii="Times New Roman" w:hAnsi="Times New Roman"/>
      <w:sz w:val="24"/>
    </w:rPr>
  </w:style>
  <w:style w:styleId="Style_140_ch" w:type="character">
    <w:name w:val="Body Text Indent 2"/>
    <w:basedOn w:val="Style_15_ch"/>
    <w:link w:val="Style_140"/>
    <w:rPr>
      <w:rFonts w:ascii="Times New Roman" w:hAnsi="Times New Roman"/>
      <w:sz w:val="24"/>
    </w:rPr>
  </w:style>
  <w:style w:styleId="Style_141" w:type="paragraph">
    <w:name w:val="markedcontent"/>
    <w:basedOn w:val="Style_19"/>
    <w:link w:val="Style_141_ch"/>
  </w:style>
  <w:style w:styleId="Style_141_ch" w:type="character">
    <w:name w:val="markedcontent"/>
    <w:basedOn w:val="Style_19_ch"/>
    <w:link w:val="Style_141"/>
  </w:style>
  <w:style w:styleId="Style_142" w:type="paragraph">
    <w:name w:val="msonormal"/>
    <w:basedOn w:val="Style_15"/>
    <w:link w:val="Style_142_ch"/>
    <w:pPr>
      <w:spacing w:after="200" w:line="276" w:lineRule="auto"/>
      <w:ind/>
    </w:pPr>
    <w:rPr>
      <w:rFonts w:ascii="Times New Roman" w:hAnsi="Times New Roman"/>
      <w:sz w:val="24"/>
    </w:rPr>
  </w:style>
  <w:style w:styleId="Style_142_ch" w:type="character">
    <w:name w:val="msonormal"/>
    <w:basedOn w:val="Style_15_ch"/>
    <w:link w:val="Style_142"/>
    <w:rPr>
      <w:rFonts w:ascii="Times New Roman" w:hAnsi="Times New Roman"/>
      <w:sz w:val="24"/>
    </w:rPr>
  </w:style>
  <w:style w:styleId="Style_143" w:type="paragraph">
    <w:name w:val="Не вступил в силу"/>
    <w:link w:val="Style_143_ch"/>
    <w:rPr>
      <w:b w:val="1"/>
      <w:color w:val="000000"/>
      <w:shd w:fill="D8EDE8" w:val="clear"/>
    </w:rPr>
  </w:style>
  <w:style w:styleId="Style_143_ch" w:type="character">
    <w:name w:val="Не вступил в силу"/>
    <w:link w:val="Style_143"/>
    <w:rPr>
      <w:b w:val="1"/>
      <w:color w:val="000000"/>
      <w:shd w:fill="D8EDE8" w:val="clear"/>
    </w:rPr>
  </w:style>
  <w:style w:styleId="Style_6" w:type="paragraph">
    <w:name w:val="Обычный (веб)1"/>
    <w:basedOn w:val="Style_15"/>
    <w:next w:val="Style_144"/>
    <w:link w:val="Style_6_ch"/>
    <w:pPr>
      <w:widowControl w:val="0"/>
      <w:ind/>
    </w:pPr>
    <w:rPr>
      <w:rFonts w:ascii="Times New Roman" w:hAnsi="Times New Roman"/>
      <w:sz w:val="24"/>
    </w:rPr>
  </w:style>
  <w:style w:styleId="Style_6_ch" w:type="character">
    <w:name w:val="Обычный (веб)1"/>
    <w:basedOn w:val="Style_15_ch"/>
    <w:link w:val="Style_6"/>
    <w:rPr>
      <w:rFonts w:ascii="Times New Roman" w:hAnsi="Times New Roman"/>
      <w:sz w:val="24"/>
    </w:rPr>
  </w:style>
  <w:style w:styleId="Style_145" w:type="paragraph">
    <w:name w:val="xl136"/>
    <w:basedOn w:val="Style_15"/>
    <w:link w:val="Style_145_ch"/>
    <w:pPr>
      <w:spacing w:afterAutospacing="on" w:beforeAutospacing="on"/>
      <w:ind/>
    </w:pPr>
    <w:rPr>
      <w:rFonts w:ascii="Times New Roman" w:hAnsi="Times New Roman"/>
      <w:b w:val="1"/>
      <w:sz w:val="16"/>
    </w:rPr>
  </w:style>
  <w:style w:styleId="Style_145_ch" w:type="character">
    <w:name w:val="xl136"/>
    <w:basedOn w:val="Style_15_ch"/>
    <w:link w:val="Style_145"/>
    <w:rPr>
      <w:rFonts w:ascii="Times New Roman" w:hAnsi="Times New Roman"/>
      <w:b w:val="1"/>
      <w:sz w:val="16"/>
    </w:rPr>
  </w:style>
  <w:style w:styleId="Style_146" w:type="paragraph">
    <w:name w:val="xl131"/>
    <w:basedOn w:val="Style_15"/>
    <w:link w:val="Style_146_ch"/>
    <w:pPr>
      <w:spacing w:afterAutospacing="on" w:beforeAutospacing="on"/>
      <w:ind/>
    </w:pPr>
    <w:rPr>
      <w:rFonts w:ascii="Times New Roman" w:hAnsi="Times New Roman"/>
      <w:b w:val="1"/>
      <w:sz w:val="16"/>
    </w:rPr>
  </w:style>
  <w:style w:styleId="Style_146_ch" w:type="character">
    <w:name w:val="xl131"/>
    <w:basedOn w:val="Style_15_ch"/>
    <w:link w:val="Style_146"/>
    <w:rPr>
      <w:rFonts w:ascii="Times New Roman" w:hAnsi="Times New Roman"/>
      <w:b w:val="1"/>
      <w:sz w:val="16"/>
    </w:rPr>
  </w:style>
  <w:style w:styleId="Style_5" w:type="paragraph">
    <w:name w:val="Раздел 1"/>
    <w:basedOn w:val="Style_3"/>
    <w:link w:val="Style_5_ch"/>
    <w:pPr>
      <w:keepNext w:val="1"/>
      <w:spacing w:after="120" w:before="0"/>
      <w:ind/>
    </w:pPr>
    <w:rPr>
      <w:rFonts w:ascii="Times New Roman Полужирный" w:hAnsi="Times New Roman Полужирный"/>
      <w:caps w:val="1"/>
    </w:rPr>
  </w:style>
  <w:style w:styleId="Style_5_ch" w:type="character">
    <w:name w:val="Раздел 1"/>
    <w:basedOn w:val="Style_3_ch"/>
    <w:link w:val="Style_5"/>
    <w:rPr>
      <w:rFonts w:ascii="Times New Roman Полужирный" w:hAnsi="Times New Roman Полужирный"/>
      <w:caps w:val="1"/>
    </w:rPr>
  </w:style>
  <w:style w:styleId="Style_147" w:type="paragraph">
    <w:name w:val="xl118"/>
    <w:basedOn w:val="Style_15"/>
    <w:link w:val="Style_147_ch"/>
    <w:pPr>
      <w:spacing w:afterAutospacing="on" w:beforeAutospacing="on"/>
      <w:ind/>
    </w:pPr>
    <w:rPr>
      <w:rFonts w:ascii="Times New Roman" w:hAnsi="Times New Roman"/>
      <w:sz w:val="14"/>
    </w:rPr>
  </w:style>
  <w:style w:styleId="Style_147_ch" w:type="character">
    <w:name w:val="xl118"/>
    <w:basedOn w:val="Style_15_ch"/>
    <w:link w:val="Style_147"/>
    <w:rPr>
      <w:rFonts w:ascii="Times New Roman" w:hAnsi="Times New Roman"/>
      <w:sz w:val="14"/>
    </w:rPr>
  </w:style>
  <w:style w:styleId="Style_148" w:type="paragraph">
    <w:name w:val="Подвал для информации об изменениях"/>
    <w:basedOn w:val="Style_3"/>
    <w:next w:val="Style_15"/>
    <w:link w:val="Style_148_ch"/>
    <w:pPr>
      <w:keepNext w:val="1"/>
      <w:keepLines w:val="1"/>
      <w:spacing w:after="240" w:before="480" w:line="360" w:lineRule="auto"/>
      <w:ind/>
      <w:outlineLvl w:val="8"/>
    </w:pPr>
    <w:rPr>
      <w:b w:val="0"/>
      <w:sz w:val="18"/>
    </w:rPr>
  </w:style>
  <w:style w:styleId="Style_148_ch" w:type="character">
    <w:name w:val="Подвал для информации об изменениях"/>
    <w:basedOn w:val="Style_3_ch"/>
    <w:link w:val="Style_148"/>
    <w:rPr>
      <w:b w:val="0"/>
      <w:sz w:val="18"/>
    </w:rPr>
  </w:style>
  <w:style w:styleId="Style_149" w:type="paragraph">
    <w:name w:val="c14"/>
    <w:basedOn w:val="Style_15"/>
    <w:link w:val="Style_149_ch"/>
    <w:pPr>
      <w:spacing w:afterAutospacing="on" w:beforeAutospacing="on"/>
      <w:ind/>
    </w:pPr>
    <w:rPr>
      <w:rFonts w:ascii="Times New Roman" w:hAnsi="Times New Roman"/>
      <w:sz w:val="24"/>
    </w:rPr>
  </w:style>
  <w:style w:styleId="Style_149_ch" w:type="character">
    <w:name w:val="c14"/>
    <w:basedOn w:val="Style_15_ch"/>
    <w:link w:val="Style_149"/>
    <w:rPr>
      <w:rFonts w:ascii="Times New Roman" w:hAnsi="Times New Roman"/>
      <w:sz w:val="24"/>
    </w:rPr>
  </w:style>
  <w:style w:styleId="Style_150" w:type="paragraph">
    <w:name w:val="xl66"/>
    <w:basedOn w:val="Style_15"/>
    <w:link w:val="Style_150_ch"/>
    <w:pPr>
      <w:spacing w:afterAutospacing="on" w:beforeAutospacing="on"/>
      <w:ind/>
    </w:pPr>
    <w:rPr>
      <w:rFonts w:ascii="Times New Roman" w:hAnsi="Times New Roman"/>
      <w:sz w:val="24"/>
    </w:rPr>
  </w:style>
  <w:style w:styleId="Style_150_ch" w:type="character">
    <w:name w:val="xl66"/>
    <w:basedOn w:val="Style_15_ch"/>
    <w:link w:val="Style_150"/>
    <w:rPr>
      <w:rFonts w:ascii="Times New Roman" w:hAnsi="Times New Roman"/>
      <w:sz w:val="24"/>
    </w:rPr>
  </w:style>
  <w:style w:styleId="Style_151" w:type="paragraph">
    <w:name w:val="xl173"/>
    <w:basedOn w:val="Style_15"/>
    <w:link w:val="Style_151_ch"/>
    <w:pPr>
      <w:spacing w:afterAutospacing="on" w:beforeAutospacing="on"/>
      <w:ind/>
      <w:jc w:val="center"/>
    </w:pPr>
    <w:rPr>
      <w:rFonts w:ascii="Times New Roman" w:hAnsi="Times New Roman"/>
      <w:i w:val="1"/>
      <w:sz w:val="14"/>
    </w:rPr>
  </w:style>
  <w:style w:styleId="Style_151_ch" w:type="character">
    <w:name w:val="xl173"/>
    <w:basedOn w:val="Style_15_ch"/>
    <w:link w:val="Style_151"/>
    <w:rPr>
      <w:rFonts w:ascii="Times New Roman" w:hAnsi="Times New Roman"/>
      <w:i w:val="1"/>
      <w:sz w:val="14"/>
    </w:rPr>
  </w:style>
  <w:style w:styleId="Style_152" w:type="paragraph">
    <w:name w:val="xl160"/>
    <w:basedOn w:val="Style_15"/>
    <w:link w:val="Style_152_ch"/>
    <w:pPr>
      <w:spacing w:afterAutospacing="on" w:beforeAutospacing="on"/>
      <w:ind/>
      <w:jc w:val="center"/>
    </w:pPr>
    <w:rPr>
      <w:rFonts w:ascii="Times New Roman" w:hAnsi="Times New Roman"/>
      <w:b w:val="1"/>
      <w:sz w:val="16"/>
    </w:rPr>
  </w:style>
  <w:style w:styleId="Style_152_ch" w:type="character">
    <w:name w:val="xl160"/>
    <w:basedOn w:val="Style_15_ch"/>
    <w:link w:val="Style_152"/>
    <w:rPr>
      <w:rFonts w:ascii="Times New Roman" w:hAnsi="Times New Roman"/>
      <w:b w:val="1"/>
      <w:sz w:val="16"/>
    </w:rPr>
  </w:style>
  <w:style w:styleId="Style_153" w:type="paragraph">
    <w:name w:val="xl177"/>
    <w:basedOn w:val="Style_15"/>
    <w:link w:val="Style_153_ch"/>
    <w:pPr>
      <w:spacing w:afterAutospacing="on" w:beforeAutospacing="on"/>
      <w:ind/>
      <w:jc w:val="center"/>
    </w:pPr>
    <w:rPr>
      <w:rFonts w:ascii="Times New Roman" w:hAnsi="Times New Roman"/>
      <w:sz w:val="14"/>
    </w:rPr>
  </w:style>
  <w:style w:styleId="Style_153_ch" w:type="character">
    <w:name w:val="xl177"/>
    <w:basedOn w:val="Style_15_ch"/>
    <w:link w:val="Style_153"/>
    <w:rPr>
      <w:rFonts w:ascii="Times New Roman" w:hAnsi="Times New Roman"/>
      <w:sz w:val="14"/>
    </w:rPr>
  </w:style>
  <w:style w:styleId="Style_154" w:type="paragraph">
    <w:name w:val="heading 5"/>
    <w:next w:val="Style_15"/>
    <w:link w:val="Style_154_ch"/>
    <w:uiPriority w:val="9"/>
    <w:qFormat/>
    <w:pPr>
      <w:spacing w:after="120" w:before="120"/>
      <w:ind/>
      <w:jc w:val="both"/>
      <w:outlineLvl w:val="4"/>
    </w:pPr>
    <w:rPr>
      <w:rFonts w:ascii="XO Thames" w:hAnsi="XO Thames"/>
      <w:b w:val="1"/>
      <w:sz w:val="22"/>
    </w:rPr>
  </w:style>
  <w:style w:styleId="Style_154_ch" w:type="character">
    <w:name w:val="heading 5"/>
    <w:link w:val="Style_154"/>
    <w:rPr>
      <w:rFonts w:ascii="XO Thames" w:hAnsi="XO Thames"/>
      <w:b w:val="1"/>
      <w:sz w:val="22"/>
    </w:rPr>
  </w:style>
  <w:style w:styleId="Style_155" w:type="paragraph">
    <w:name w:val="Default"/>
    <w:link w:val="Style_155_ch"/>
    <w:rPr>
      <w:rFonts w:ascii="Times New Roman" w:hAnsi="Times New Roman"/>
      <w:color w:val="000000"/>
      <w:sz w:val="24"/>
    </w:rPr>
  </w:style>
  <w:style w:styleId="Style_155_ch" w:type="character">
    <w:name w:val="Default"/>
    <w:link w:val="Style_155"/>
    <w:rPr>
      <w:rFonts w:ascii="Times New Roman" w:hAnsi="Times New Roman"/>
      <w:color w:val="000000"/>
      <w:sz w:val="24"/>
    </w:rPr>
  </w:style>
  <w:style w:styleId="Style_156" w:type="paragraph">
    <w:name w:val="xl115"/>
    <w:basedOn w:val="Style_15"/>
    <w:link w:val="Style_156_ch"/>
    <w:pPr>
      <w:spacing w:afterAutospacing="on" w:beforeAutospacing="on"/>
      <w:ind/>
      <w:jc w:val="center"/>
    </w:pPr>
    <w:rPr>
      <w:rFonts w:ascii="Times New Roman" w:hAnsi="Times New Roman"/>
      <w:b w:val="1"/>
      <w:sz w:val="16"/>
    </w:rPr>
  </w:style>
  <w:style w:styleId="Style_156_ch" w:type="character">
    <w:name w:val="xl115"/>
    <w:basedOn w:val="Style_15_ch"/>
    <w:link w:val="Style_156"/>
    <w:rPr>
      <w:rFonts w:ascii="Times New Roman" w:hAnsi="Times New Roman"/>
      <w:b w:val="1"/>
      <w:sz w:val="16"/>
    </w:rPr>
  </w:style>
  <w:style w:styleId="Style_157" w:type="paragraph">
    <w:name w:val="Колонтитул (левый)"/>
    <w:basedOn w:val="Style_158"/>
    <w:next w:val="Style_15"/>
    <w:link w:val="Style_157_ch"/>
    <w:rPr>
      <w:sz w:val="14"/>
    </w:rPr>
  </w:style>
  <w:style w:styleId="Style_157_ch" w:type="character">
    <w:name w:val="Колонтитул (левый)"/>
    <w:basedOn w:val="Style_158_ch"/>
    <w:link w:val="Style_157"/>
    <w:rPr>
      <w:sz w:val="14"/>
    </w:rPr>
  </w:style>
  <w:style w:styleId="Style_159" w:type="paragraph">
    <w:name w:val="xl68"/>
    <w:basedOn w:val="Style_15"/>
    <w:link w:val="Style_159_ch"/>
    <w:pPr>
      <w:spacing w:afterAutospacing="on" w:beforeAutospacing="on"/>
      <w:ind/>
      <w:jc w:val="center"/>
    </w:pPr>
    <w:rPr>
      <w:rFonts w:ascii="Times New Roman" w:hAnsi="Times New Roman"/>
      <w:color w:val="000000"/>
      <w:sz w:val="16"/>
    </w:rPr>
  </w:style>
  <w:style w:styleId="Style_159_ch" w:type="character">
    <w:name w:val="xl68"/>
    <w:basedOn w:val="Style_15_ch"/>
    <w:link w:val="Style_159"/>
    <w:rPr>
      <w:rFonts w:ascii="Times New Roman" w:hAnsi="Times New Roman"/>
      <w:color w:val="000000"/>
      <w:sz w:val="16"/>
    </w:rPr>
  </w:style>
  <w:style w:styleId="Style_160" w:type="paragraph">
    <w:name w:val="xl141"/>
    <w:basedOn w:val="Style_15"/>
    <w:link w:val="Style_160_ch"/>
    <w:pPr>
      <w:spacing w:afterAutospacing="on" w:beforeAutospacing="on"/>
      <w:ind/>
    </w:pPr>
    <w:rPr>
      <w:rFonts w:ascii="Times New Roman" w:hAnsi="Times New Roman"/>
      <w:sz w:val="14"/>
    </w:rPr>
  </w:style>
  <w:style w:styleId="Style_160_ch" w:type="character">
    <w:name w:val="xl141"/>
    <w:basedOn w:val="Style_15_ch"/>
    <w:link w:val="Style_160"/>
    <w:rPr>
      <w:rFonts w:ascii="Times New Roman" w:hAnsi="Times New Roman"/>
      <w:sz w:val="14"/>
    </w:rPr>
  </w:style>
  <w:style w:styleId="Style_161" w:type="paragraph">
    <w:name w:val="xl125"/>
    <w:basedOn w:val="Style_15"/>
    <w:link w:val="Style_161_ch"/>
    <w:pPr>
      <w:spacing w:afterAutospacing="on" w:beforeAutospacing="on"/>
      <w:ind/>
    </w:pPr>
    <w:rPr>
      <w:rFonts w:ascii="Times New Roman" w:hAnsi="Times New Roman"/>
      <w:b w:val="1"/>
      <w:color w:val="000000"/>
      <w:sz w:val="16"/>
    </w:rPr>
  </w:style>
  <w:style w:styleId="Style_161_ch" w:type="character">
    <w:name w:val="xl125"/>
    <w:basedOn w:val="Style_15_ch"/>
    <w:link w:val="Style_161"/>
    <w:rPr>
      <w:rFonts w:ascii="Times New Roman" w:hAnsi="Times New Roman"/>
      <w:b w:val="1"/>
      <w:color w:val="000000"/>
      <w:sz w:val="16"/>
    </w:rPr>
  </w:style>
  <w:style w:styleId="Style_162" w:type="paragraph">
    <w:name w:val="Ссылка на официальную публикацию"/>
    <w:basedOn w:val="Style_15"/>
    <w:next w:val="Style_15"/>
    <w:link w:val="Style_162_ch"/>
    <w:pPr>
      <w:widowControl w:val="0"/>
      <w:spacing w:line="360" w:lineRule="auto"/>
      <w:ind w:firstLine="720" w:left="0"/>
      <w:jc w:val="both"/>
    </w:pPr>
    <w:rPr>
      <w:rFonts w:ascii="Times New Roman" w:hAnsi="Times New Roman"/>
      <w:sz w:val="24"/>
    </w:rPr>
  </w:style>
  <w:style w:styleId="Style_162_ch" w:type="character">
    <w:name w:val="Ссылка на официальную публикацию"/>
    <w:basedOn w:val="Style_15_ch"/>
    <w:link w:val="Style_162"/>
    <w:rPr>
      <w:rFonts w:ascii="Times New Roman" w:hAnsi="Times New Roman"/>
      <w:sz w:val="24"/>
    </w:rPr>
  </w:style>
  <w:style w:styleId="Style_163" w:type="paragraph">
    <w:name w:val="xl163"/>
    <w:basedOn w:val="Style_15"/>
    <w:link w:val="Style_163_ch"/>
    <w:pPr>
      <w:spacing w:afterAutospacing="on" w:beforeAutospacing="on"/>
      <w:ind/>
      <w:jc w:val="center"/>
    </w:pPr>
    <w:rPr>
      <w:rFonts w:ascii="Times New Roman" w:hAnsi="Times New Roman"/>
      <w:b w:val="1"/>
      <w:sz w:val="16"/>
    </w:rPr>
  </w:style>
  <w:style w:styleId="Style_163_ch" w:type="character">
    <w:name w:val="xl163"/>
    <w:basedOn w:val="Style_15_ch"/>
    <w:link w:val="Style_163"/>
    <w:rPr>
      <w:rFonts w:ascii="Times New Roman" w:hAnsi="Times New Roman"/>
      <w:b w:val="1"/>
      <w:sz w:val="16"/>
    </w:rPr>
  </w:style>
  <w:style w:styleId="Style_164" w:type="paragraph">
    <w:name w:val="Основной текст (2) + 12 pt"/>
    <w:link w:val="Style_164_ch"/>
    <w:rPr>
      <w:rFonts w:ascii="Times New Roman" w:hAnsi="Times New Roman"/>
      <w:strike w:val="0"/>
      <w:color w:val="000000"/>
      <w:spacing w:val="0"/>
      <w:sz w:val="24"/>
      <w:highlight w:val="white"/>
      <w:u w:val="none"/>
    </w:rPr>
  </w:style>
  <w:style w:styleId="Style_164_ch" w:type="character">
    <w:name w:val="Основной текст (2) + 12 pt"/>
    <w:link w:val="Style_164"/>
    <w:rPr>
      <w:rFonts w:ascii="Times New Roman" w:hAnsi="Times New Roman"/>
      <w:strike w:val="0"/>
      <w:color w:val="000000"/>
      <w:spacing w:val="0"/>
      <w:sz w:val="24"/>
      <w:highlight w:val="white"/>
      <w:u w:val="none"/>
    </w:rPr>
  </w:style>
  <w:style w:styleId="Style_3" w:type="paragraph">
    <w:name w:val="heading 1"/>
    <w:basedOn w:val="Style_15"/>
    <w:link w:val="Style_3_ch"/>
    <w:uiPriority w:val="9"/>
    <w:qFormat/>
    <w:pPr>
      <w:spacing w:afterAutospacing="on" w:beforeAutospacing="on"/>
      <w:ind/>
      <w:jc w:val="center"/>
      <w:outlineLvl w:val="0"/>
    </w:pPr>
    <w:rPr>
      <w:rFonts w:ascii="Times New Roman" w:hAnsi="Times New Roman"/>
      <w:b w:val="1"/>
      <w:sz w:val="24"/>
    </w:rPr>
  </w:style>
  <w:style w:styleId="Style_3_ch" w:type="character">
    <w:name w:val="heading 1"/>
    <w:basedOn w:val="Style_15_ch"/>
    <w:link w:val="Style_3"/>
    <w:rPr>
      <w:rFonts w:ascii="Times New Roman" w:hAnsi="Times New Roman"/>
      <w:b w:val="1"/>
      <w:sz w:val="24"/>
    </w:rPr>
  </w:style>
  <w:style w:styleId="Style_165" w:type="paragraph">
    <w:name w:val="blk"/>
    <w:link w:val="Style_165_ch"/>
  </w:style>
  <w:style w:styleId="Style_165_ch" w:type="character">
    <w:name w:val="blk"/>
    <w:link w:val="Style_165"/>
  </w:style>
  <w:style w:styleId="Style_166" w:type="paragraph">
    <w:name w:val="Тема примечания Знак1"/>
    <w:link w:val="Style_166_ch"/>
    <w:rPr>
      <w:rFonts w:ascii="Times New Roman" w:hAnsi="Times New Roman"/>
      <w:b w:val="1"/>
      <w:sz w:val="20"/>
    </w:rPr>
  </w:style>
  <w:style w:styleId="Style_166_ch" w:type="character">
    <w:name w:val="Тема примечания Знак1"/>
    <w:link w:val="Style_166"/>
    <w:rPr>
      <w:rFonts w:ascii="Times New Roman" w:hAnsi="Times New Roman"/>
      <w:b w:val="1"/>
      <w:sz w:val="20"/>
    </w:rPr>
  </w:style>
  <w:style w:styleId="Style_167" w:type="paragraph">
    <w:name w:val="xl85"/>
    <w:basedOn w:val="Style_15"/>
    <w:link w:val="Style_167_ch"/>
    <w:pPr>
      <w:spacing w:afterAutospacing="on" w:beforeAutospacing="on"/>
      <w:ind/>
    </w:pPr>
    <w:rPr>
      <w:rFonts w:ascii="Times New Roman" w:hAnsi="Times New Roman"/>
      <w:sz w:val="14"/>
    </w:rPr>
  </w:style>
  <w:style w:styleId="Style_167_ch" w:type="character">
    <w:name w:val="xl85"/>
    <w:basedOn w:val="Style_15_ch"/>
    <w:link w:val="Style_167"/>
    <w:rPr>
      <w:rFonts w:ascii="Times New Roman" w:hAnsi="Times New Roman"/>
      <w:sz w:val="14"/>
    </w:rPr>
  </w:style>
  <w:style w:styleId="Style_168" w:type="paragraph">
    <w:name w:val="Центрированный (таблица)"/>
    <w:basedOn w:val="Style_80"/>
    <w:next w:val="Style_15"/>
    <w:link w:val="Style_168_ch"/>
    <w:pPr>
      <w:ind/>
      <w:jc w:val="center"/>
    </w:pPr>
  </w:style>
  <w:style w:styleId="Style_168_ch" w:type="character">
    <w:name w:val="Центрированный (таблица)"/>
    <w:basedOn w:val="Style_80_ch"/>
    <w:link w:val="Style_168"/>
  </w:style>
  <w:style w:styleId="Style_169" w:type="paragraph">
    <w:name w:val="Пример."/>
    <w:basedOn w:val="Style_26"/>
    <w:next w:val="Style_15"/>
    <w:link w:val="Style_169_ch"/>
  </w:style>
  <w:style w:styleId="Style_169_ch" w:type="character">
    <w:name w:val="Пример."/>
    <w:basedOn w:val="Style_26_ch"/>
    <w:link w:val="Style_169"/>
  </w:style>
  <w:style w:styleId="Style_170" w:type="paragraph">
    <w:name w:val="No Spacing"/>
    <w:link w:val="Style_170_ch"/>
    <w:rPr>
      <w:rFonts w:ascii="Calibri" w:hAnsi="Calibri"/>
    </w:rPr>
  </w:style>
  <w:style w:styleId="Style_170_ch" w:type="character">
    <w:name w:val="No Spacing"/>
    <w:link w:val="Style_170"/>
    <w:rPr>
      <w:rFonts w:ascii="Calibri" w:hAnsi="Calibri"/>
    </w:rPr>
  </w:style>
  <w:style w:styleId="Style_171" w:type="paragraph">
    <w:name w:val="xl81"/>
    <w:basedOn w:val="Style_15"/>
    <w:link w:val="Style_171_ch"/>
    <w:pPr>
      <w:spacing w:afterAutospacing="on" w:beforeAutospacing="on"/>
      <w:ind/>
    </w:pPr>
    <w:rPr>
      <w:rFonts w:ascii="Times New Roman" w:hAnsi="Times New Roman"/>
      <w:color w:val="FF0000"/>
      <w:sz w:val="14"/>
    </w:rPr>
  </w:style>
  <w:style w:styleId="Style_171_ch" w:type="character">
    <w:name w:val="xl81"/>
    <w:basedOn w:val="Style_15_ch"/>
    <w:link w:val="Style_171"/>
    <w:rPr>
      <w:rFonts w:ascii="Times New Roman" w:hAnsi="Times New Roman"/>
      <w:color w:val="FF0000"/>
      <w:sz w:val="14"/>
    </w:rPr>
  </w:style>
  <w:style w:styleId="Style_172" w:type="paragraph">
    <w:name w:val="Текст (справка)"/>
    <w:basedOn w:val="Style_15"/>
    <w:next w:val="Style_15"/>
    <w:link w:val="Style_172_ch"/>
    <w:pPr>
      <w:widowControl w:val="0"/>
      <w:spacing w:line="360" w:lineRule="auto"/>
      <w:ind w:firstLine="0" w:left="170" w:right="170"/>
    </w:pPr>
    <w:rPr>
      <w:rFonts w:ascii="Times New Roman" w:hAnsi="Times New Roman"/>
      <w:sz w:val="24"/>
    </w:rPr>
  </w:style>
  <w:style w:styleId="Style_172_ch" w:type="character">
    <w:name w:val="Текст (справка)"/>
    <w:basedOn w:val="Style_15_ch"/>
    <w:link w:val="Style_172"/>
    <w:rPr>
      <w:rFonts w:ascii="Times New Roman" w:hAnsi="Times New Roman"/>
      <w:sz w:val="24"/>
    </w:rPr>
  </w:style>
  <w:style w:styleId="Style_173" w:type="paragraph">
    <w:name w:val="xl87"/>
    <w:basedOn w:val="Style_15"/>
    <w:link w:val="Style_173_ch"/>
    <w:pPr>
      <w:spacing w:afterAutospacing="on" w:beforeAutospacing="on"/>
      <w:ind/>
      <w:jc w:val="center"/>
    </w:pPr>
    <w:rPr>
      <w:rFonts w:ascii="Times New Roman" w:hAnsi="Times New Roman"/>
      <w:i w:val="1"/>
      <w:sz w:val="14"/>
    </w:rPr>
  </w:style>
  <w:style w:styleId="Style_173_ch" w:type="character">
    <w:name w:val="xl87"/>
    <w:basedOn w:val="Style_15_ch"/>
    <w:link w:val="Style_173"/>
    <w:rPr>
      <w:rFonts w:ascii="Times New Roman" w:hAnsi="Times New Roman"/>
      <w:i w:val="1"/>
      <w:sz w:val="14"/>
    </w:rPr>
  </w:style>
  <w:style w:styleId="Style_174" w:type="paragraph">
    <w:name w:val="xl178"/>
    <w:basedOn w:val="Style_15"/>
    <w:link w:val="Style_174_ch"/>
    <w:pPr>
      <w:spacing w:afterAutospacing="on" w:beforeAutospacing="on"/>
      <w:ind/>
      <w:jc w:val="center"/>
    </w:pPr>
    <w:rPr>
      <w:rFonts w:ascii="Times New Roman" w:hAnsi="Times New Roman"/>
      <w:sz w:val="14"/>
    </w:rPr>
  </w:style>
  <w:style w:styleId="Style_174_ch" w:type="character">
    <w:name w:val="xl178"/>
    <w:basedOn w:val="Style_15_ch"/>
    <w:link w:val="Style_174"/>
    <w:rPr>
      <w:rFonts w:ascii="Times New Roman" w:hAnsi="Times New Roman"/>
      <w:sz w:val="14"/>
    </w:rPr>
  </w:style>
  <w:style w:styleId="Style_175" w:type="paragraph">
    <w:name w:val="xl145"/>
    <w:basedOn w:val="Style_15"/>
    <w:link w:val="Style_175_ch"/>
    <w:pPr>
      <w:spacing w:afterAutospacing="on" w:beforeAutospacing="on"/>
      <w:ind/>
    </w:pPr>
    <w:rPr>
      <w:rFonts w:ascii="Times New Roman" w:hAnsi="Times New Roman"/>
      <w:b w:val="1"/>
      <w:color w:val="000000"/>
      <w:sz w:val="16"/>
    </w:rPr>
  </w:style>
  <w:style w:styleId="Style_175_ch" w:type="character">
    <w:name w:val="xl145"/>
    <w:basedOn w:val="Style_15_ch"/>
    <w:link w:val="Style_175"/>
    <w:rPr>
      <w:rFonts w:ascii="Times New Roman" w:hAnsi="Times New Roman"/>
      <w:b w:val="1"/>
      <w:color w:val="000000"/>
      <w:sz w:val="16"/>
    </w:rPr>
  </w:style>
  <w:style w:styleId="Style_176" w:type="paragraph">
    <w:name w:val="xl77"/>
    <w:basedOn w:val="Style_15"/>
    <w:link w:val="Style_176_ch"/>
    <w:pPr>
      <w:spacing w:afterAutospacing="on" w:beforeAutospacing="on"/>
      <w:ind/>
      <w:jc w:val="center"/>
    </w:pPr>
    <w:rPr>
      <w:rFonts w:ascii="Times New Roman" w:hAnsi="Times New Roman"/>
      <w:color w:val="000000"/>
      <w:sz w:val="16"/>
    </w:rPr>
  </w:style>
  <w:style w:styleId="Style_176_ch" w:type="character">
    <w:name w:val="xl77"/>
    <w:basedOn w:val="Style_15_ch"/>
    <w:link w:val="Style_176"/>
    <w:rPr>
      <w:rFonts w:ascii="Times New Roman" w:hAnsi="Times New Roman"/>
      <w:color w:val="000000"/>
      <w:sz w:val="16"/>
    </w:rPr>
  </w:style>
  <w:style w:styleId="Style_177" w:type="paragraph">
    <w:name w:val="Интерактивный заголовок"/>
    <w:basedOn w:val="Style_178"/>
    <w:next w:val="Style_15"/>
    <w:link w:val="Style_177_ch"/>
    <w:rPr>
      <w:u w:val="single"/>
    </w:rPr>
  </w:style>
  <w:style w:styleId="Style_177_ch" w:type="character">
    <w:name w:val="Интерактивный заголовок"/>
    <w:basedOn w:val="Style_178_ch"/>
    <w:link w:val="Style_177"/>
    <w:rPr>
      <w:u w:val="single"/>
    </w:rPr>
  </w:style>
  <w:style w:styleId="Style_179" w:type="paragraph">
    <w:name w:val="xl121"/>
    <w:basedOn w:val="Style_15"/>
    <w:link w:val="Style_179_ch"/>
    <w:pPr>
      <w:spacing w:afterAutospacing="on" w:beforeAutospacing="on"/>
      <w:ind/>
    </w:pPr>
    <w:rPr>
      <w:rFonts w:ascii="Times New Roman" w:hAnsi="Times New Roman"/>
      <w:b w:val="1"/>
      <w:i w:val="1"/>
      <w:color w:val="000000"/>
      <w:sz w:val="16"/>
    </w:rPr>
  </w:style>
  <w:style w:styleId="Style_179_ch" w:type="character">
    <w:name w:val="xl121"/>
    <w:basedOn w:val="Style_15_ch"/>
    <w:link w:val="Style_179"/>
    <w:rPr>
      <w:rFonts w:ascii="Times New Roman" w:hAnsi="Times New Roman"/>
      <w:b w:val="1"/>
      <w:i w:val="1"/>
      <w:color w:val="000000"/>
      <w:sz w:val="16"/>
    </w:rPr>
  </w:style>
  <w:style w:styleId="Style_180" w:type="paragraph">
    <w:name w:val="Body Text 2"/>
    <w:basedOn w:val="Style_15"/>
    <w:link w:val="Style_180_ch"/>
    <w:pPr>
      <w:ind w:right="-57"/>
      <w:jc w:val="both"/>
    </w:pPr>
    <w:rPr>
      <w:rFonts w:ascii="Times New Roman" w:hAnsi="Times New Roman"/>
      <w:sz w:val="24"/>
    </w:rPr>
  </w:style>
  <w:style w:styleId="Style_180_ch" w:type="character">
    <w:name w:val="Body Text 2"/>
    <w:basedOn w:val="Style_15_ch"/>
    <w:link w:val="Style_180"/>
    <w:rPr>
      <w:rFonts w:ascii="Times New Roman" w:hAnsi="Times New Roman"/>
      <w:sz w:val="24"/>
    </w:rPr>
  </w:style>
  <w:style w:styleId="Style_14" w:type="paragraph">
    <w:name w:val="Hyperlink"/>
    <w:basedOn w:val="Style_19"/>
    <w:link w:val="Style_14_ch"/>
    <w:rPr>
      <w:color w:themeColor="hyperlink" w:val="0563C1"/>
      <w:u w:val="single"/>
    </w:rPr>
  </w:style>
  <w:style w:styleId="Style_14_ch" w:type="character">
    <w:name w:val="Hyperlink"/>
    <w:basedOn w:val="Style_19_ch"/>
    <w:link w:val="Style_14"/>
    <w:rPr>
      <w:color w:themeColor="hyperlink" w:val="0563C1"/>
      <w:u w:val="single"/>
    </w:rPr>
  </w:style>
  <w:style w:styleId="Style_181" w:type="paragraph">
    <w:name w:val="Footnote"/>
    <w:basedOn w:val="Style_15"/>
    <w:link w:val="Style_181_ch"/>
    <w:rPr>
      <w:rFonts w:ascii="Times New Roman" w:hAnsi="Times New Roman"/>
      <w:sz w:val="20"/>
    </w:rPr>
  </w:style>
  <w:style w:styleId="Style_181_ch" w:type="character">
    <w:name w:val="Footnote"/>
    <w:basedOn w:val="Style_15_ch"/>
    <w:link w:val="Style_181"/>
    <w:rPr>
      <w:rFonts w:ascii="Times New Roman" w:hAnsi="Times New Roman"/>
      <w:sz w:val="20"/>
    </w:rPr>
  </w:style>
  <w:style w:styleId="Style_19" w:type="paragraph">
    <w:name w:val="Default Paragraph Font"/>
    <w:link w:val="Style_19_ch"/>
  </w:style>
  <w:style w:styleId="Style_19_ch" w:type="character">
    <w:name w:val="Default Paragraph Font"/>
    <w:link w:val="Style_19"/>
  </w:style>
  <w:style w:styleId="Style_182" w:type="paragraph">
    <w:name w:val="Заголовок распахивающейся части диалога"/>
    <w:basedOn w:val="Style_15"/>
    <w:next w:val="Style_15"/>
    <w:link w:val="Style_182_ch"/>
    <w:pPr>
      <w:widowControl w:val="0"/>
      <w:spacing w:line="360" w:lineRule="auto"/>
      <w:ind w:firstLine="720" w:left="0"/>
      <w:jc w:val="both"/>
    </w:pPr>
    <w:rPr>
      <w:rFonts w:ascii="Times New Roman" w:hAnsi="Times New Roman"/>
      <w:i w:val="1"/>
      <w:color w:val="000080"/>
    </w:rPr>
  </w:style>
  <w:style w:styleId="Style_182_ch" w:type="character">
    <w:name w:val="Заголовок распахивающейся части диалога"/>
    <w:basedOn w:val="Style_15_ch"/>
    <w:link w:val="Style_182"/>
    <w:rPr>
      <w:rFonts w:ascii="Times New Roman" w:hAnsi="Times New Roman"/>
      <w:i w:val="1"/>
      <w:color w:val="000080"/>
    </w:rPr>
  </w:style>
  <w:style w:styleId="Style_183" w:type="paragraph">
    <w:name w:val="Неразрешенное упоминание4"/>
    <w:basedOn w:val="Style_19"/>
    <w:link w:val="Style_183_ch"/>
    <w:rPr>
      <w:color w:val="605E5C"/>
      <w:shd w:fill="E1DFDD" w:val="clear"/>
    </w:rPr>
  </w:style>
  <w:style w:styleId="Style_183_ch" w:type="character">
    <w:name w:val="Неразрешенное упоминание4"/>
    <w:basedOn w:val="Style_19_ch"/>
    <w:link w:val="Style_183"/>
    <w:rPr>
      <w:color w:val="605E5C"/>
      <w:shd w:fill="E1DFDD" w:val="clear"/>
    </w:rPr>
  </w:style>
  <w:style w:styleId="Style_184" w:type="paragraph">
    <w:name w:val="xl108"/>
    <w:basedOn w:val="Style_15"/>
    <w:link w:val="Style_184_ch"/>
    <w:pPr>
      <w:spacing w:afterAutospacing="on" w:beforeAutospacing="on"/>
      <w:ind/>
    </w:pPr>
    <w:rPr>
      <w:rFonts w:ascii="Times New Roman" w:hAnsi="Times New Roman"/>
      <w:color w:val="000000"/>
      <w:sz w:val="16"/>
    </w:rPr>
  </w:style>
  <w:style w:styleId="Style_184_ch" w:type="character">
    <w:name w:val="xl108"/>
    <w:basedOn w:val="Style_15_ch"/>
    <w:link w:val="Style_184"/>
    <w:rPr>
      <w:rFonts w:ascii="Times New Roman" w:hAnsi="Times New Roman"/>
      <w:color w:val="000000"/>
      <w:sz w:val="16"/>
    </w:rPr>
  </w:style>
  <w:style w:styleId="Style_93" w:type="paragraph">
    <w:name w:val="Таблицы (моноширинный)"/>
    <w:basedOn w:val="Style_15"/>
    <w:next w:val="Style_15"/>
    <w:link w:val="Style_93_ch"/>
    <w:pPr>
      <w:widowControl w:val="0"/>
      <w:spacing w:line="360" w:lineRule="auto"/>
      <w:ind/>
    </w:pPr>
    <w:rPr>
      <w:rFonts w:ascii="Courier New" w:hAnsi="Courier New"/>
      <w:sz w:val="24"/>
    </w:rPr>
  </w:style>
  <w:style w:styleId="Style_93_ch" w:type="character">
    <w:name w:val="Таблицы (моноширинный)"/>
    <w:basedOn w:val="Style_15_ch"/>
    <w:link w:val="Style_93"/>
    <w:rPr>
      <w:rFonts w:ascii="Courier New" w:hAnsi="Courier New"/>
      <w:sz w:val="24"/>
    </w:rPr>
  </w:style>
  <w:style w:styleId="Style_2" w:type="paragraph">
    <w:name w:val="toc 1"/>
    <w:basedOn w:val="Style_15"/>
    <w:next w:val="Style_15"/>
    <w:link w:val="Style_2_ch"/>
    <w:uiPriority w:val="39"/>
    <w:pPr>
      <w:tabs>
        <w:tab w:leader="dot" w:pos="9639" w:val="right"/>
      </w:tabs>
      <w:spacing w:before="120" w:line="276" w:lineRule="auto"/>
      <w:ind/>
    </w:pPr>
    <w:rPr>
      <w:rFonts w:ascii="Times New Roman" w:hAnsi="Times New Roman"/>
      <w:b w:val="1"/>
    </w:rPr>
  </w:style>
  <w:style w:styleId="Style_2_ch" w:type="character">
    <w:name w:val="toc 1"/>
    <w:basedOn w:val="Style_15_ch"/>
    <w:link w:val="Style_2"/>
    <w:rPr>
      <w:rFonts w:ascii="Times New Roman" w:hAnsi="Times New Roman"/>
      <w:b w:val="1"/>
    </w:rPr>
  </w:style>
  <w:style w:styleId="Style_185" w:type="paragraph">
    <w:name w:val="xl119"/>
    <w:basedOn w:val="Style_15"/>
    <w:link w:val="Style_185_ch"/>
    <w:pPr>
      <w:spacing w:afterAutospacing="on" w:beforeAutospacing="on"/>
      <w:ind/>
    </w:pPr>
    <w:rPr>
      <w:rFonts w:ascii="Times New Roman" w:hAnsi="Times New Roman"/>
      <w:color w:val="FFFFFF"/>
      <w:sz w:val="14"/>
    </w:rPr>
  </w:style>
  <w:style w:styleId="Style_185_ch" w:type="character">
    <w:name w:val="xl119"/>
    <w:basedOn w:val="Style_15_ch"/>
    <w:link w:val="Style_185"/>
    <w:rPr>
      <w:rFonts w:ascii="Times New Roman" w:hAnsi="Times New Roman"/>
      <w:color w:val="FFFFFF"/>
      <w:sz w:val="14"/>
    </w:rPr>
  </w:style>
  <w:style w:styleId="Style_186" w:type="paragraph">
    <w:name w:val="Цветовое выделение"/>
    <w:link w:val="Style_186_ch"/>
    <w:rPr>
      <w:b w:val="1"/>
      <w:color w:val="26282F"/>
    </w:rPr>
  </w:style>
  <w:style w:styleId="Style_186_ch" w:type="character">
    <w:name w:val="Цветовое выделение"/>
    <w:link w:val="Style_186"/>
    <w:rPr>
      <w:b w:val="1"/>
      <w:color w:val="26282F"/>
    </w:rPr>
  </w:style>
  <w:style w:styleId="Style_187" w:type="paragraph">
    <w:name w:val="ConsPlusNormal"/>
    <w:link w:val="Style_187_ch"/>
    <w:pPr>
      <w:widowControl w:val="0"/>
      <w:ind/>
    </w:pPr>
    <w:rPr>
      <w:rFonts w:ascii="Arial" w:hAnsi="Arial"/>
      <w:sz w:val="20"/>
    </w:rPr>
  </w:style>
  <w:style w:styleId="Style_187_ch" w:type="character">
    <w:name w:val="ConsPlusNormal"/>
    <w:link w:val="Style_187"/>
    <w:rPr>
      <w:rFonts w:ascii="Arial" w:hAnsi="Arial"/>
      <w:sz w:val="20"/>
    </w:rPr>
  </w:style>
  <w:style w:styleId="Style_188" w:type="paragraph">
    <w:name w:val="xl176"/>
    <w:basedOn w:val="Style_15"/>
    <w:link w:val="Style_188_ch"/>
    <w:pPr>
      <w:spacing w:afterAutospacing="on" w:beforeAutospacing="on"/>
      <w:ind/>
      <w:jc w:val="center"/>
    </w:pPr>
    <w:rPr>
      <w:rFonts w:ascii="Times New Roman" w:hAnsi="Times New Roman"/>
      <w:i w:val="1"/>
      <w:sz w:val="14"/>
    </w:rPr>
  </w:style>
  <w:style w:styleId="Style_188_ch" w:type="character">
    <w:name w:val="xl176"/>
    <w:basedOn w:val="Style_15_ch"/>
    <w:link w:val="Style_188"/>
    <w:rPr>
      <w:rFonts w:ascii="Times New Roman" w:hAnsi="Times New Roman"/>
      <w:i w:val="1"/>
      <w:sz w:val="14"/>
    </w:rPr>
  </w:style>
  <w:style w:styleId="Style_189" w:type="paragraph">
    <w:name w:val="Header and Footer"/>
    <w:link w:val="Style_189_ch"/>
    <w:pPr>
      <w:spacing w:line="240" w:lineRule="auto"/>
      <w:ind/>
      <w:jc w:val="both"/>
    </w:pPr>
    <w:rPr>
      <w:rFonts w:ascii="XO Thames" w:hAnsi="XO Thames"/>
      <w:sz w:val="28"/>
    </w:rPr>
  </w:style>
  <w:style w:styleId="Style_189_ch" w:type="character">
    <w:name w:val="Header and Footer"/>
    <w:link w:val="Style_189"/>
    <w:rPr>
      <w:rFonts w:ascii="XO Thames" w:hAnsi="XO Thames"/>
      <w:sz w:val="28"/>
    </w:rPr>
  </w:style>
  <w:style w:styleId="Style_190" w:type="paragraph">
    <w:name w:val="xl138"/>
    <w:basedOn w:val="Style_15"/>
    <w:link w:val="Style_190_ch"/>
    <w:pPr>
      <w:spacing w:afterAutospacing="on" w:beforeAutospacing="on"/>
      <w:ind/>
      <w:jc w:val="center"/>
    </w:pPr>
    <w:rPr>
      <w:rFonts w:ascii="Times New Roman" w:hAnsi="Times New Roman"/>
      <w:b w:val="1"/>
      <w:color w:val="000000"/>
      <w:sz w:val="16"/>
    </w:rPr>
  </w:style>
  <w:style w:styleId="Style_190_ch" w:type="character">
    <w:name w:val="xl138"/>
    <w:basedOn w:val="Style_15_ch"/>
    <w:link w:val="Style_190"/>
    <w:rPr>
      <w:rFonts w:ascii="Times New Roman" w:hAnsi="Times New Roman"/>
      <w:b w:val="1"/>
      <w:color w:val="000000"/>
      <w:sz w:val="16"/>
    </w:rPr>
  </w:style>
  <w:style w:styleId="Style_11" w:type="paragraph">
    <w:name w:val="List Paragraph"/>
    <w:basedOn w:val="Style_15"/>
    <w:link w:val="Style_11_ch"/>
    <w:pPr>
      <w:ind w:firstLine="0" w:left="720"/>
      <w:contextualSpacing w:val="1"/>
    </w:pPr>
  </w:style>
  <w:style w:styleId="Style_11_ch" w:type="character">
    <w:name w:val="List Paragraph"/>
    <w:basedOn w:val="Style_15_ch"/>
    <w:link w:val="Style_11"/>
  </w:style>
  <w:style w:styleId="Style_191" w:type="paragraph">
    <w:name w:val="xl70"/>
    <w:basedOn w:val="Style_15"/>
    <w:link w:val="Style_191_ch"/>
    <w:pPr>
      <w:spacing w:afterAutospacing="on" w:beforeAutospacing="on"/>
      <w:ind/>
    </w:pPr>
    <w:rPr>
      <w:rFonts w:ascii="Times New Roman" w:hAnsi="Times New Roman"/>
      <w:color w:val="000000"/>
      <w:sz w:val="16"/>
    </w:rPr>
  </w:style>
  <w:style w:styleId="Style_191_ch" w:type="character">
    <w:name w:val="xl70"/>
    <w:basedOn w:val="Style_15_ch"/>
    <w:link w:val="Style_191"/>
    <w:rPr>
      <w:rFonts w:ascii="Times New Roman" w:hAnsi="Times New Roman"/>
      <w:color w:val="000000"/>
      <w:sz w:val="16"/>
    </w:rPr>
  </w:style>
  <w:style w:styleId="Style_192" w:type="paragraph">
    <w:name w:val="xl106"/>
    <w:basedOn w:val="Style_15"/>
    <w:link w:val="Style_192_ch"/>
    <w:pPr>
      <w:spacing w:afterAutospacing="on" w:beforeAutospacing="on"/>
      <w:ind/>
      <w:jc w:val="center"/>
    </w:pPr>
    <w:rPr>
      <w:rFonts w:ascii="Times New Roman" w:hAnsi="Times New Roman"/>
      <w:b w:val="1"/>
      <w:sz w:val="16"/>
    </w:rPr>
  </w:style>
  <w:style w:styleId="Style_192_ch" w:type="character">
    <w:name w:val="xl106"/>
    <w:basedOn w:val="Style_15_ch"/>
    <w:link w:val="Style_192"/>
    <w:rPr>
      <w:rFonts w:ascii="Times New Roman" w:hAnsi="Times New Roman"/>
      <w:b w:val="1"/>
      <w:sz w:val="16"/>
    </w:rPr>
  </w:style>
  <w:style w:styleId="Style_193" w:type="paragraph">
    <w:name w:val="Заголовок чужого сообщения"/>
    <w:link w:val="Style_193_ch"/>
    <w:rPr>
      <w:b w:val="1"/>
      <w:color w:val="FF0000"/>
    </w:rPr>
  </w:style>
  <w:style w:styleId="Style_193_ch" w:type="character">
    <w:name w:val="Заголовок чужого сообщения"/>
    <w:link w:val="Style_193"/>
    <w:rPr>
      <w:b w:val="1"/>
      <w:color w:val="FF0000"/>
    </w:rPr>
  </w:style>
  <w:style w:styleId="Style_194" w:type="paragraph">
    <w:name w:val="xl90"/>
    <w:basedOn w:val="Style_15"/>
    <w:link w:val="Style_194_ch"/>
    <w:pPr>
      <w:spacing w:afterAutospacing="on" w:beforeAutospacing="on"/>
      <w:ind/>
    </w:pPr>
    <w:rPr>
      <w:rFonts w:ascii="Times New Roman" w:hAnsi="Times New Roman"/>
      <w:sz w:val="14"/>
    </w:rPr>
  </w:style>
  <w:style w:styleId="Style_194_ch" w:type="character">
    <w:name w:val="xl90"/>
    <w:basedOn w:val="Style_15_ch"/>
    <w:link w:val="Style_194"/>
    <w:rPr>
      <w:rFonts w:ascii="Times New Roman" w:hAnsi="Times New Roman"/>
      <w:sz w:val="14"/>
    </w:rPr>
  </w:style>
  <w:style w:styleId="Style_195" w:type="paragraph">
    <w:name w:val="annotation reference"/>
    <w:basedOn w:val="Style_19"/>
    <w:link w:val="Style_195_ch"/>
    <w:rPr>
      <w:sz w:val="16"/>
    </w:rPr>
  </w:style>
  <w:style w:styleId="Style_195_ch" w:type="character">
    <w:name w:val="annotation reference"/>
    <w:basedOn w:val="Style_19_ch"/>
    <w:link w:val="Style_195"/>
    <w:rPr>
      <w:sz w:val="16"/>
    </w:rPr>
  </w:style>
  <w:style w:styleId="Style_196" w:type="paragraph">
    <w:name w:val="xl96"/>
    <w:basedOn w:val="Style_15"/>
    <w:link w:val="Style_196_ch"/>
    <w:pPr>
      <w:spacing w:afterAutospacing="on" w:beforeAutospacing="on"/>
      <w:ind/>
    </w:pPr>
    <w:rPr>
      <w:rFonts w:ascii="Times New Roman" w:hAnsi="Times New Roman"/>
      <w:color w:val="FF0000"/>
      <w:sz w:val="14"/>
    </w:rPr>
  </w:style>
  <w:style w:styleId="Style_196_ch" w:type="character">
    <w:name w:val="xl96"/>
    <w:basedOn w:val="Style_15_ch"/>
    <w:link w:val="Style_196"/>
    <w:rPr>
      <w:rFonts w:ascii="Times New Roman" w:hAnsi="Times New Roman"/>
      <w:color w:val="FF0000"/>
      <w:sz w:val="14"/>
    </w:rPr>
  </w:style>
  <w:style w:styleId="Style_197" w:type="paragraph">
    <w:name w:val="Моноширинный"/>
    <w:basedOn w:val="Style_15"/>
    <w:next w:val="Style_15"/>
    <w:link w:val="Style_197_ch"/>
    <w:pPr>
      <w:widowControl w:val="0"/>
      <w:spacing w:line="360" w:lineRule="auto"/>
      <w:ind/>
    </w:pPr>
    <w:rPr>
      <w:rFonts w:ascii="Courier New" w:hAnsi="Courier New"/>
      <w:sz w:val="24"/>
    </w:rPr>
  </w:style>
  <w:style w:styleId="Style_197_ch" w:type="character">
    <w:name w:val="Моноширинный"/>
    <w:basedOn w:val="Style_15_ch"/>
    <w:link w:val="Style_197"/>
    <w:rPr>
      <w:rFonts w:ascii="Courier New" w:hAnsi="Courier New"/>
      <w:sz w:val="24"/>
    </w:rPr>
  </w:style>
  <w:style w:styleId="Style_198" w:type="paragraph">
    <w:name w:val="s_16"/>
    <w:basedOn w:val="Style_15"/>
    <w:link w:val="Style_198_ch"/>
    <w:pPr>
      <w:spacing w:afterAutospacing="on" w:beforeAutospacing="on"/>
      <w:ind/>
    </w:pPr>
    <w:rPr>
      <w:rFonts w:ascii="Times New Roman" w:hAnsi="Times New Roman"/>
      <w:sz w:val="24"/>
    </w:rPr>
  </w:style>
  <w:style w:styleId="Style_198_ch" w:type="character">
    <w:name w:val="s_16"/>
    <w:basedOn w:val="Style_15_ch"/>
    <w:link w:val="Style_198"/>
    <w:rPr>
      <w:rFonts w:ascii="Times New Roman" w:hAnsi="Times New Roman"/>
      <w:sz w:val="24"/>
    </w:rPr>
  </w:style>
  <w:style w:styleId="Style_199" w:type="paragraph">
    <w:name w:val="xl142"/>
    <w:basedOn w:val="Style_15"/>
    <w:link w:val="Style_199_ch"/>
    <w:pPr>
      <w:spacing w:afterAutospacing="on" w:beforeAutospacing="on"/>
      <w:ind/>
      <w:jc w:val="center"/>
    </w:pPr>
    <w:rPr>
      <w:rFonts w:ascii="Times New Roman" w:hAnsi="Times New Roman"/>
      <w:color w:val="000000"/>
      <w:sz w:val="16"/>
    </w:rPr>
  </w:style>
  <w:style w:styleId="Style_199_ch" w:type="character">
    <w:name w:val="xl142"/>
    <w:basedOn w:val="Style_15_ch"/>
    <w:link w:val="Style_199"/>
    <w:rPr>
      <w:rFonts w:ascii="Times New Roman" w:hAnsi="Times New Roman"/>
      <w:color w:val="000000"/>
      <w:sz w:val="16"/>
    </w:rPr>
  </w:style>
  <w:style w:styleId="Style_178" w:type="paragraph">
    <w:name w:val="Заголовок1"/>
    <w:basedOn w:val="Style_96"/>
    <w:next w:val="Style_15"/>
    <w:link w:val="Style_178_ch"/>
    <w:rPr>
      <w:b w:val="1"/>
      <w:color w:val="0058A9"/>
    </w:rPr>
  </w:style>
  <w:style w:styleId="Style_178_ch" w:type="character">
    <w:name w:val="Заголовок1"/>
    <w:basedOn w:val="Style_96_ch"/>
    <w:link w:val="Style_178"/>
    <w:rPr>
      <w:b w:val="1"/>
      <w:color w:val="0058A9"/>
    </w:rPr>
  </w:style>
  <w:style w:styleId="Style_200" w:type="paragraph">
    <w:name w:val="xl80"/>
    <w:basedOn w:val="Style_15"/>
    <w:link w:val="Style_200_ch"/>
    <w:pPr>
      <w:spacing w:afterAutospacing="on" w:beforeAutospacing="on"/>
      <w:ind/>
    </w:pPr>
    <w:rPr>
      <w:rFonts w:ascii="Times New Roman" w:hAnsi="Times New Roman"/>
      <w:sz w:val="24"/>
    </w:rPr>
  </w:style>
  <w:style w:styleId="Style_200_ch" w:type="character">
    <w:name w:val="xl80"/>
    <w:basedOn w:val="Style_15_ch"/>
    <w:link w:val="Style_200"/>
    <w:rPr>
      <w:rFonts w:ascii="Times New Roman" w:hAnsi="Times New Roman"/>
      <w:sz w:val="24"/>
    </w:rPr>
  </w:style>
  <w:style w:styleId="Style_201" w:type="paragraph">
    <w:name w:val="xl109"/>
    <w:basedOn w:val="Style_15"/>
    <w:link w:val="Style_201_ch"/>
    <w:pPr>
      <w:spacing w:afterAutospacing="on" w:beforeAutospacing="on"/>
      <w:ind/>
    </w:pPr>
    <w:rPr>
      <w:rFonts w:ascii="Times New Roman" w:hAnsi="Times New Roman"/>
      <w:sz w:val="14"/>
    </w:rPr>
  </w:style>
  <w:style w:styleId="Style_201_ch" w:type="character">
    <w:name w:val="xl109"/>
    <w:basedOn w:val="Style_15_ch"/>
    <w:link w:val="Style_201"/>
    <w:rPr>
      <w:rFonts w:ascii="Times New Roman" w:hAnsi="Times New Roman"/>
      <w:sz w:val="14"/>
    </w:rPr>
  </w:style>
  <w:style w:styleId="Style_202" w:type="paragraph">
    <w:name w:val="Постоянная часть"/>
    <w:basedOn w:val="Style_96"/>
    <w:next w:val="Style_15"/>
    <w:link w:val="Style_202_ch"/>
    <w:rPr>
      <w:sz w:val="20"/>
    </w:rPr>
  </w:style>
  <w:style w:styleId="Style_202_ch" w:type="character">
    <w:name w:val="Постоянная часть"/>
    <w:basedOn w:val="Style_96_ch"/>
    <w:link w:val="Style_202"/>
    <w:rPr>
      <w:sz w:val="20"/>
    </w:rPr>
  </w:style>
  <w:style w:styleId="Style_203" w:type="paragraph">
    <w:name w:val="toc 9"/>
    <w:basedOn w:val="Style_15"/>
    <w:next w:val="Style_15"/>
    <w:link w:val="Style_203_ch"/>
    <w:uiPriority w:val="39"/>
    <w:pPr>
      <w:ind w:firstLine="0" w:left="1920"/>
    </w:pPr>
    <w:rPr>
      <w:rFonts w:ascii="Calibri" w:hAnsi="Calibri"/>
      <w:sz w:val="20"/>
    </w:rPr>
  </w:style>
  <w:style w:styleId="Style_203_ch" w:type="character">
    <w:name w:val="toc 9"/>
    <w:basedOn w:val="Style_15_ch"/>
    <w:link w:val="Style_203"/>
    <w:rPr>
      <w:rFonts w:ascii="Calibri" w:hAnsi="Calibri"/>
      <w:sz w:val="20"/>
    </w:rPr>
  </w:style>
  <w:style w:styleId="Style_204" w:type="paragraph">
    <w:name w:val="Подзаголовок для информации об изменениях"/>
    <w:basedOn w:val="Style_36"/>
    <w:next w:val="Style_15"/>
    <w:link w:val="Style_204_ch"/>
    <w:rPr>
      <w:b w:val="1"/>
    </w:rPr>
  </w:style>
  <w:style w:styleId="Style_204_ch" w:type="character">
    <w:name w:val="Подзаголовок для информации об изменениях"/>
    <w:basedOn w:val="Style_36_ch"/>
    <w:link w:val="Style_204"/>
    <w:rPr>
      <w:b w:val="1"/>
    </w:rPr>
  </w:style>
  <w:style w:styleId="Style_205" w:type="paragraph">
    <w:name w:val="Гиперссылка1"/>
    <w:basedOn w:val="Style_19"/>
    <w:link w:val="Style_205_ch"/>
    <w:rPr>
      <w:color w:val="0000FF"/>
      <w:u w:val="single"/>
    </w:rPr>
  </w:style>
  <w:style w:styleId="Style_205_ch" w:type="character">
    <w:name w:val="Гиперссылка1"/>
    <w:basedOn w:val="Style_19_ch"/>
    <w:link w:val="Style_205"/>
    <w:rPr>
      <w:color w:val="0000FF"/>
      <w:u w:val="single"/>
    </w:rPr>
  </w:style>
  <w:style w:styleId="Style_206" w:type="paragraph">
    <w:name w:val="Заголовок ЭР (левое окно)"/>
    <w:basedOn w:val="Style_15"/>
    <w:next w:val="Style_15"/>
    <w:link w:val="Style_206_ch"/>
    <w:pPr>
      <w:widowControl w:val="0"/>
      <w:spacing w:after="250" w:before="300" w:line="360" w:lineRule="auto"/>
      <w:ind/>
      <w:jc w:val="center"/>
    </w:pPr>
    <w:rPr>
      <w:rFonts w:ascii="Times New Roman" w:hAnsi="Times New Roman"/>
      <w:b w:val="1"/>
      <w:color w:val="26282F"/>
      <w:sz w:val="26"/>
    </w:rPr>
  </w:style>
  <w:style w:styleId="Style_206_ch" w:type="character">
    <w:name w:val="Заголовок ЭР (левое окно)"/>
    <w:basedOn w:val="Style_15_ch"/>
    <w:link w:val="Style_206"/>
    <w:rPr>
      <w:rFonts w:ascii="Times New Roman" w:hAnsi="Times New Roman"/>
      <w:b w:val="1"/>
      <w:color w:val="26282F"/>
      <w:sz w:val="26"/>
    </w:rPr>
  </w:style>
  <w:style w:styleId="Style_144" w:type="paragraph">
    <w:name w:val="Normal (Web)"/>
    <w:basedOn w:val="Style_15"/>
    <w:link w:val="Style_144_ch"/>
    <w:pPr>
      <w:spacing w:after="200" w:line="276" w:lineRule="auto"/>
      <w:ind/>
    </w:pPr>
    <w:rPr>
      <w:rFonts w:ascii="Times New Roman" w:hAnsi="Times New Roman"/>
      <w:sz w:val="24"/>
    </w:rPr>
  </w:style>
  <w:style w:styleId="Style_144_ch" w:type="character">
    <w:name w:val="Normal (Web)"/>
    <w:basedOn w:val="Style_15_ch"/>
    <w:link w:val="Style_144"/>
    <w:rPr>
      <w:rFonts w:ascii="Times New Roman" w:hAnsi="Times New Roman"/>
      <w:sz w:val="24"/>
    </w:rPr>
  </w:style>
  <w:style w:styleId="Style_207" w:type="paragraph">
    <w:name w:val="xl122"/>
    <w:basedOn w:val="Style_15"/>
    <w:link w:val="Style_207_ch"/>
    <w:pPr>
      <w:spacing w:afterAutospacing="on" w:beforeAutospacing="on"/>
      <w:ind/>
    </w:pPr>
    <w:rPr>
      <w:rFonts w:ascii="Times New Roman" w:hAnsi="Times New Roman"/>
      <w:sz w:val="16"/>
    </w:rPr>
  </w:style>
  <w:style w:styleId="Style_207_ch" w:type="character">
    <w:name w:val="xl122"/>
    <w:basedOn w:val="Style_15_ch"/>
    <w:link w:val="Style_207"/>
    <w:rPr>
      <w:rFonts w:ascii="Times New Roman" w:hAnsi="Times New Roman"/>
      <w:sz w:val="16"/>
    </w:rPr>
  </w:style>
  <w:style w:styleId="Style_208" w:type="paragraph">
    <w:name w:val="Формула"/>
    <w:basedOn w:val="Style_15"/>
    <w:next w:val="Style_15"/>
    <w:link w:val="Style_208_ch"/>
    <w:pPr>
      <w:widowControl w:val="0"/>
      <w:spacing w:after="240" w:before="240" w:line="360" w:lineRule="auto"/>
      <w:ind w:firstLine="300" w:left="420" w:right="420"/>
      <w:jc w:val="both"/>
    </w:pPr>
    <w:rPr>
      <w:rFonts w:ascii="Times New Roman" w:hAnsi="Times New Roman"/>
      <w:sz w:val="24"/>
    </w:rPr>
  </w:style>
  <w:style w:styleId="Style_208_ch" w:type="character">
    <w:name w:val="Формула"/>
    <w:basedOn w:val="Style_15_ch"/>
    <w:link w:val="Style_208"/>
    <w:rPr>
      <w:rFonts w:ascii="Times New Roman" w:hAnsi="Times New Roman"/>
      <w:sz w:val="24"/>
    </w:rPr>
  </w:style>
  <w:style w:styleId="Style_209" w:type="paragraph">
    <w:name w:val="xl111"/>
    <w:basedOn w:val="Style_15"/>
    <w:link w:val="Style_209_ch"/>
    <w:pPr>
      <w:spacing w:afterAutospacing="on" w:beforeAutospacing="on"/>
      <w:ind/>
      <w:jc w:val="center"/>
    </w:pPr>
    <w:rPr>
      <w:rFonts w:ascii="Times New Roman" w:hAnsi="Times New Roman"/>
      <w:color w:val="000000"/>
      <w:sz w:val="16"/>
    </w:rPr>
  </w:style>
  <w:style w:styleId="Style_209_ch" w:type="character">
    <w:name w:val="xl111"/>
    <w:basedOn w:val="Style_15_ch"/>
    <w:link w:val="Style_209"/>
    <w:rPr>
      <w:rFonts w:ascii="Times New Roman" w:hAnsi="Times New Roman"/>
      <w:color w:val="000000"/>
      <w:sz w:val="16"/>
    </w:rPr>
  </w:style>
  <w:style w:styleId="Style_210" w:type="paragraph">
    <w:name w:val="xl116"/>
    <w:basedOn w:val="Style_15"/>
    <w:link w:val="Style_210_ch"/>
    <w:pPr>
      <w:spacing w:afterAutospacing="on" w:beforeAutospacing="on"/>
      <w:ind/>
    </w:pPr>
    <w:rPr>
      <w:rFonts w:ascii="Times New Roman" w:hAnsi="Times New Roman"/>
      <w:b w:val="1"/>
      <w:sz w:val="16"/>
    </w:rPr>
  </w:style>
  <w:style w:styleId="Style_210_ch" w:type="character">
    <w:name w:val="xl116"/>
    <w:basedOn w:val="Style_15_ch"/>
    <w:link w:val="Style_210"/>
    <w:rPr>
      <w:rFonts w:ascii="Times New Roman" w:hAnsi="Times New Roman"/>
      <w:b w:val="1"/>
      <w:sz w:val="16"/>
    </w:rPr>
  </w:style>
  <w:style w:styleId="Style_211" w:type="paragraph">
    <w:name w:val="xl172"/>
    <w:basedOn w:val="Style_15"/>
    <w:link w:val="Style_211_ch"/>
    <w:pPr>
      <w:spacing w:afterAutospacing="on" w:beforeAutospacing="on"/>
      <w:ind/>
      <w:jc w:val="center"/>
    </w:pPr>
    <w:rPr>
      <w:rFonts w:ascii="Times New Roman" w:hAnsi="Times New Roman"/>
      <w:i w:val="1"/>
      <w:sz w:val="14"/>
    </w:rPr>
  </w:style>
  <w:style w:styleId="Style_211_ch" w:type="character">
    <w:name w:val="xl172"/>
    <w:basedOn w:val="Style_15_ch"/>
    <w:link w:val="Style_211"/>
    <w:rPr>
      <w:rFonts w:ascii="Times New Roman" w:hAnsi="Times New Roman"/>
      <w:i w:val="1"/>
      <w:sz w:val="14"/>
    </w:rPr>
  </w:style>
  <w:style w:styleId="Style_212" w:type="paragraph">
    <w:name w:val="Подчёркнуный текст"/>
    <w:basedOn w:val="Style_15"/>
    <w:next w:val="Style_15"/>
    <w:link w:val="Style_212_ch"/>
    <w:pPr>
      <w:widowControl w:val="0"/>
      <w:spacing w:line="360" w:lineRule="auto"/>
      <w:ind w:firstLine="720" w:left="0"/>
      <w:jc w:val="both"/>
    </w:pPr>
    <w:rPr>
      <w:rFonts w:ascii="Times New Roman" w:hAnsi="Times New Roman"/>
      <w:sz w:val="24"/>
    </w:rPr>
  </w:style>
  <w:style w:styleId="Style_212_ch" w:type="character">
    <w:name w:val="Подчёркнуный текст"/>
    <w:basedOn w:val="Style_15_ch"/>
    <w:link w:val="Style_212"/>
    <w:rPr>
      <w:rFonts w:ascii="Times New Roman" w:hAnsi="Times New Roman"/>
      <w:sz w:val="24"/>
    </w:rPr>
  </w:style>
  <w:style w:styleId="Style_213" w:type="paragraph">
    <w:name w:val="Просмотренная гиперссылка1"/>
    <w:basedOn w:val="Style_19"/>
    <w:link w:val="Style_213_ch"/>
    <w:rPr>
      <w:color w:val="800080"/>
      <w:u w:val="single"/>
    </w:rPr>
  </w:style>
  <w:style w:styleId="Style_213_ch" w:type="character">
    <w:name w:val="Просмотренная гиперссылка1"/>
    <w:basedOn w:val="Style_19_ch"/>
    <w:link w:val="Style_213"/>
    <w:rPr>
      <w:color w:val="800080"/>
      <w:u w:val="single"/>
    </w:rPr>
  </w:style>
  <w:style w:styleId="Style_214" w:type="paragraph">
    <w:name w:val="Комментарий пользователя"/>
    <w:basedOn w:val="Style_215"/>
    <w:next w:val="Style_15"/>
    <w:link w:val="Style_214_ch"/>
    <w:pPr>
      <w:ind/>
      <w:jc w:val="left"/>
    </w:pPr>
  </w:style>
  <w:style w:styleId="Style_214_ch" w:type="character">
    <w:name w:val="Комментарий пользователя"/>
    <w:basedOn w:val="Style_215_ch"/>
    <w:link w:val="Style_214"/>
  </w:style>
  <w:style w:styleId="Style_216" w:type="paragraph">
    <w:name w:val="toc 8"/>
    <w:basedOn w:val="Style_15"/>
    <w:next w:val="Style_15"/>
    <w:link w:val="Style_216_ch"/>
    <w:uiPriority w:val="39"/>
    <w:pPr>
      <w:ind w:firstLine="0" w:left="1680"/>
    </w:pPr>
    <w:rPr>
      <w:rFonts w:ascii="Calibri" w:hAnsi="Calibri"/>
      <w:sz w:val="20"/>
    </w:rPr>
  </w:style>
  <w:style w:styleId="Style_216_ch" w:type="character">
    <w:name w:val="toc 8"/>
    <w:basedOn w:val="Style_15_ch"/>
    <w:link w:val="Style_216"/>
    <w:rPr>
      <w:rFonts w:ascii="Calibri" w:hAnsi="Calibri"/>
      <w:sz w:val="20"/>
    </w:rPr>
  </w:style>
  <w:style w:styleId="Style_217" w:type="paragraph">
    <w:name w:val="Заголовок ЭР (правое окно)"/>
    <w:basedOn w:val="Style_206"/>
    <w:next w:val="Style_15"/>
    <w:link w:val="Style_217_ch"/>
    <w:pPr>
      <w:spacing w:after="0"/>
      <w:ind/>
      <w:jc w:val="left"/>
    </w:pPr>
  </w:style>
  <w:style w:styleId="Style_217_ch" w:type="character">
    <w:name w:val="Заголовок ЭР (правое окно)"/>
    <w:basedOn w:val="Style_206_ch"/>
    <w:link w:val="Style_217"/>
  </w:style>
  <w:style w:styleId="Style_129" w:type="paragraph">
    <w:name w:val="annotation text"/>
    <w:basedOn w:val="Style_15"/>
    <w:link w:val="Style_129_ch"/>
    <w:rPr>
      <w:sz w:val="20"/>
    </w:rPr>
  </w:style>
  <w:style w:styleId="Style_129_ch" w:type="character">
    <w:name w:val="annotation text"/>
    <w:basedOn w:val="Style_15_ch"/>
    <w:link w:val="Style_129"/>
    <w:rPr>
      <w:sz w:val="20"/>
    </w:rPr>
  </w:style>
  <w:style w:styleId="Style_218" w:type="paragraph">
    <w:name w:val="xl99"/>
    <w:basedOn w:val="Style_15"/>
    <w:link w:val="Style_218_ch"/>
    <w:pPr>
      <w:spacing w:afterAutospacing="on" w:beforeAutospacing="on"/>
      <w:ind/>
    </w:pPr>
    <w:rPr>
      <w:rFonts w:ascii="Times New Roman" w:hAnsi="Times New Roman"/>
      <w:sz w:val="24"/>
    </w:rPr>
  </w:style>
  <w:style w:styleId="Style_218_ch" w:type="character">
    <w:name w:val="xl99"/>
    <w:basedOn w:val="Style_15_ch"/>
    <w:link w:val="Style_218"/>
    <w:rPr>
      <w:rFonts w:ascii="Times New Roman" w:hAnsi="Times New Roman"/>
      <w:sz w:val="24"/>
    </w:rPr>
  </w:style>
  <w:style w:styleId="Style_219" w:type="paragraph">
    <w:name w:val="xl65"/>
    <w:basedOn w:val="Style_15"/>
    <w:link w:val="Style_219_ch"/>
    <w:pPr>
      <w:spacing w:afterAutospacing="on" w:beforeAutospacing="on"/>
      <w:ind/>
    </w:pPr>
    <w:rPr>
      <w:rFonts w:ascii="Times New Roman" w:hAnsi="Times New Roman"/>
      <w:sz w:val="14"/>
    </w:rPr>
  </w:style>
  <w:style w:styleId="Style_219_ch" w:type="character">
    <w:name w:val="xl65"/>
    <w:basedOn w:val="Style_15_ch"/>
    <w:link w:val="Style_219"/>
    <w:rPr>
      <w:rFonts w:ascii="Times New Roman" w:hAnsi="Times New Roman"/>
      <w:sz w:val="14"/>
    </w:rPr>
  </w:style>
  <w:style w:styleId="Style_220" w:type="paragraph">
    <w:name w:val="xl83"/>
    <w:basedOn w:val="Style_15"/>
    <w:link w:val="Style_220_ch"/>
    <w:pPr>
      <w:spacing w:afterAutospacing="on" w:beforeAutospacing="on"/>
      <w:ind/>
    </w:pPr>
    <w:rPr>
      <w:rFonts w:ascii="Times New Roman" w:hAnsi="Times New Roman"/>
      <w:sz w:val="14"/>
    </w:rPr>
  </w:style>
  <w:style w:styleId="Style_220_ch" w:type="character">
    <w:name w:val="xl83"/>
    <w:basedOn w:val="Style_15_ch"/>
    <w:link w:val="Style_220"/>
    <w:rPr>
      <w:rFonts w:ascii="Times New Roman" w:hAnsi="Times New Roman"/>
      <w:sz w:val="14"/>
    </w:rPr>
  </w:style>
  <w:style w:styleId="Style_221" w:type="paragraph">
    <w:name w:val="xl95"/>
    <w:basedOn w:val="Style_15"/>
    <w:link w:val="Style_221_ch"/>
    <w:pPr>
      <w:spacing w:afterAutospacing="on" w:beforeAutospacing="on"/>
      <w:ind/>
    </w:pPr>
    <w:rPr>
      <w:rFonts w:ascii="Times New Roman" w:hAnsi="Times New Roman"/>
      <w:color w:val="FFFFFF"/>
      <w:sz w:val="24"/>
    </w:rPr>
  </w:style>
  <w:style w:styleId="Style_221_ch" w:type="character">
    <w:name w:val="xl95"/>
    <w:basedOn w:val="Style_15_ch"/>
    <w:link w:val="Style_221"/>
    <w:rPr>
      <w:rFonts w:ascii="Times New Roman" w:hAnsi="Times New Roman"/>
      <w:color w:val="FFFFFF"/>
      <w:sz w:val="24"/>
    </w:rPr>
  </w:style>
  <w:style w:styleId="Style_7" w:type="paragraph">
    <w:name w:val="Раздел 1.1"/>
    <w:basedOn w:val="Style_222"/>
    <w:link w:val="Style_7_ch"/>
    <w:pPr>
      <w:numPr>
        <w:ilvl w:val="0"/>
      </w:numPr>
      <w:spacing w:after="120" w:line="276" w:lineRule="auto"/>
      <w:ind w:firstLine="709" w:left="0"/>
      <w:outlineLvl w:val="1"/>
    </w:pPr>
    <w:rPr>
      <w:rFonts w:ascii="Times New Roman Полужирный" w:hAnsi="Times New Roman Полужирный"/>
      <w:b w:val="1"/>
      <w:color w:val="000000"/>
      <w:spacing w:val="0"/>
      <w:sz w:val="24"/>
    </w:rPr>
  </w:style>
  <w:style w:styleId="Style_7_ch" w:type="character">
    <w:name w:val="Раздел 1.1"/>
    <w:basedOn w:val="Style_222_ch"/>
    <w:link w:val="Style_7"/>
    <w:rPr>
      <w:rFonts w:ascii="Times New Roman Полужирный" w:hAnsi="Times New Roman Полужирный"/>
      <w:b w:val="1"/>
      <w:color w:val="000000"/>
      <w:spacing w:val="0"/>
      <w:sz w:val="24"/>
    </w:rPr>
  </w:style>
  <w:style w:styleId="Style_223" w:type="paragraph">
    <w:name w:val="xl137"/>
    <w:basedOn w:val="Style_15"/>
    <w:link w:val="Style_223_ch"/>
    <w:pPr>
      <w:spacing w:afterAutospacing="on" w:beforeAutospacing="on"/>
      <w:ind/>
      <w:jc w:val="center"/>
    </w:pPr>
    <w:rPr>
      <w:rFonts w:ascii="Times New Roman" w:hAnsi="Times New Roman"/>
      <w:b w:val="1"/>
      <w:color w:val="000000"/>
      <w:sz w:val="16"/>
    </w:rPr>
  </w:style>
  <w:style w:styleId="Style_223_ch" w:type="character">
    <w:name w:val="xl137"/>
    <w:basedOn w:val="Style_15_ch"/>
    <w:link w:val="Style_223"/>
    <w:rPr>
      <w:rFonts w:ascii="Times New Roman" w:hAnsi="Times New Roman"/>
      <w:b w:val="1"/>
      <w:color w:val="000000"/>
      <w:sz w:val="16"/>
    </w:rPr>
  </w:style>
  <w:style w:styleId="Style_224" w:type="paragraph">
    <w:name w:val="xl127"/>
    <w:basedOn w:val="Style_15"/>
    <w:link w:val="Style_224_ch"/>
    <w:pPr>
      <w:spacing w:afterAutospacing="on" w:beforeAutospacing="on"/>
      <w:ind/>
    </w:pPr>
    <w:rPr>
      <w:rFonts w:ascii="Times New Roman" w:hAnsi="Times New Roman"/>
      <w:b w:val="1"/>
      <w:sz w:val="16"/>
    </w:rPr>
  </w:style>
  <w:style w:styleId="Style_224_ch" w:type="character">
    <w:name w:val="xl127"/>
    <w:basedOn w:val="Style_15_ch"/>
    <w:link w:val="Style_224"/>
    <w:rPr>
      <w:rFonts w:ascii="Times New Roman" w:hAnsi="Times New Roman"/>
      <w:b w:val="1"/>
      <w:sz w:val="16"/>
    </w:rPr>
  </w:style>
  <w:style w:styleId="Style_225" w:type="paragraph">
    <w:name w:val="xl162"/>
    <w:basedOn w:val="Style_15"/>
    <w:link w:val="Style_225_ch"/>
    <w:pPr>
      <w:spacing w:afterAutospacing="on" w:beforeAutospacing="on"/>
      <w:ind/>
      <w:jc w:val="center"/>
    </w:pPr>
    <w:rPr>
      <w:rFonts w:ascii="Times New Roman" w:hAnsi="Times New Roman"/>
      <w:b w:val="1"/>
      <w:sz w:val="16"/>
    </w:rPr>
  </w:style>
  <w:style w:styleId="Style_225_ch" w:type="character">
    <w:name w:val="xl162"/>
    <w:basedOn w:val="Style_15_ch"/>
    <w:link w:val="Style_225"/>
    <w:rPr>
      <w:rFonts w:ascii="Times New Roman" w:hAnsi="Times New Roman"/>
      <w:b w:val="1"/>
      <w:sz w:val="16"/>
    </w:rPr>
  </w:style>
  <w:style w:styleId="Style_226" w:type="paragraph">
    <w:name w:val="xl76"/>
    <w:basedOn w:val="Style_15"/>
    <w:link w:val="Style_226_ch"/>
    <w:pPr>
      <w:spacing w:afterAutospacing="on" w:beforeAutospacing="on"/>
      <w:ind/>
    </w:pPr>
    <w:rPr>
      <w:rFonts w:ascii="Times New Roman" w:hAnsi="Times New Roman"/>
      <w:sz w:val="16"/>
    </w:rPr>
  </w:style>
  <w:style w:styleId="Style_226_ch" w:type="character">
    <w:name w:val="xl76"/>
    <w:basedOn w:val="Style_15_ch"/>
    <w:link w:val="Style_226"/>
    <w:rPr>
      <w:rFonts w:ascii="Times New Roman" w:hAnsi="Times New Roman"/>
      <w:sz w:val="16"/>
    </w:rPr>
  </w:style>
  <w:style w:styleId="Style_227" w:type="paragraph">
    <w:name w:val="xl150"/>
    <w:basedOn w:val="Style_15"/>
    <w:link w:val="Style_227_ch"/>
    <w:pPr>
      <w:spacing w:afterAutospacing="on" w:beforeAutospacing="on"/>
      <w:ind/>
      <w:jc w:val="center"/>
    </w:pPr>
    <w:rPr>
      <w:rFonts w:ascii="Times New Roman" w:hAnsi="Times New Roman"/>
      <w:i w:val="1"/>
      <w:sz w:val="14"/>
    </w:rPr>
  </w:style>
  <w:style w:styleId="Style_227_ch" w:type="character">
    <w:name w:val="xl150"/>
    <w:basedOn w:val="Style_15_ch"/>
    <w:link w:val="Style_227"/>
    <w:rPr>
      <w:rFonts w:ascii="Times New Roman" w:hAnsi="Times New Roman"/>
      <w:i w:val="1"/>
      <w:sz w:val="14"/>
    </w:rPr>
  </w:style>
  <w:style w:styleId="Style_12" w:type="paragraph">
    <w:name w:val="Знак сноски1"/>
    <w:basedOn w:val="Style_15"/>
    <w:link w:val="Style_12_ch"/>
    <w:rPr>
      <w:vertAlign w:val="superscript"/>
    </w:rPr>
  </w:style>
  <w:style w:styleId="Style_12_ch" w:type="character">
    <w:name w:val="Знак сноски1"/>
    <w:basedOn w:val="Style_15_ch"/>
    <w:link w:val="Style_12"/>
    <w:rPr>
      <w:vertAlign w:val="superscript"/>
    </w:rPr>
  </w:style>
  <w:style w:styleId="Style_228" w:type="paragraph">
    <w:name w:val="Примечание."/>
    <w:basedOn w:val="Style_26"/>
    <w:next w:val="Style_15"/>
    <w:link w:val="Style_228_ch"/>
  </w:style>
  <w:style w:styleId="Style_228_ch" w:type="character">
    <w:name w:val="Примечание."/>
    <w:basedOn w:val="Style_26_ch"/>
    <w:link w:val="Style_228"/>
  </w:style>
  <w:style w:styleId="Style_9" w:type="paragraph">
    <w:name w:val="Emphasis"/>
    <w:link w:val="Style_9_ch"/>
    <w:rPr>
      <w:rFonts w:ascii="Times New Roman" w:hAnsi="Times New Roman"/>
      <w:i w:val="1"/>
    </w:rPr>
  </w:style>
  <w:style w:styleId="Style_9_ch" w:type="character">
    <w:name w:val="Emphasis"/>
    <w:link w:val="Style_9"/>
    <w:rPr>
      <w:rFonts w:ascii="Times New Roman" w:hAnsi="Times New Roman"/>
      <w:i w:val="1"/>
    </w:rPr>
  </w:style>
  <w:style w:styleId="Style_229" w:type="paragraph">
    <w:name w:val="Заголовок для информации об изменениях"/>
    <w:basedOn w:val="Style_3"/>
    <w:next w:val="Style_15"/>
    <w:link w:val="Style_229_ch"/>
    <w:pPr>
      <w:keepNext w:val="1"/>
      <w:keepLines w:val="1"/>
      <w:spacing w:after="240" w:before="0" w:line="360" w:lineRule="auto"/>
      <w:ind/>
      <w:outlineLvl w:val="8"/>
    </w:pPr>
    <w:rPr>
      <w:b w:val="0"/>
      <w:sz w:val="18"/>
    </w:rPr>
  </w:style>
  <w:style w:styleId="Style_229_ch" w:type="character">
    <w:name w:val="Заголовок для информации об изменениях"/>
    <w:basedOn w:val="Style_3_ch"/>
    <w:link w:val="Style_229"/>
    <w:rPr>
      <w:b w:val="0"/>
      <w:sz w:val="18"/>
    </w:rPr>
  </w:style>
  <w:style w:styleId="Style_230" w:type="paragraph">
    <w:name w:val="xl110"/>
    <w:basedOn w:val="Style_15"/>
    <w:link w:val="Style_230_ch"/>
    <w:pPr>
      <w:spacing w:afterAutospacing="on" w:beforeAutospacing="on"/>
      <w:ind/>
      <w:jc w:val="center"/>
    </w:pPr>
    <w:rPr>
      <w:rFonts w:ascii="Times New Roman" w:hAnsi="Times New Roman"/>
      <w:b w:val="1"/>
      <w:i w:val="1"/>
      <w:color w:val="000000"/>
      <w:sz w:val="16"/>
    </w:rPr>
  </w:style>
  <w:style w:styleId="Style_230_ch" w:type="character">
    <w:name w:val="xl110"/>
    <w:basedOn w:val="Style_15_ch"/>
    <w:link w:val="Style_230"/>
    <w:rPr>
      <w:rFonts w:ascii="Times New Roman" w:hAnsi="Times New Roman"/>
      <w:b w:val="1"/>
      <w:i w:val="1"/>
      <w:color w:val="000000"/>
      <w:sz w:val="16"/>
    </w:rPr>
  </w:style>
  <w:style w:styleId="Style_231" w:type="paragraph">
    <w:name w:val="Неразрешенное упоминание3"/>
    <w:link w:val="Style_231_ch"/>
    <w:rPr>
      <w:color w:val="605E5C"/>
      <w:shd w:fill="E1DFDD" w:val="clear"/>
    </w:rPr>
  </w:style>
  <w:style w:styleId="Style_231_ch" w:type="character">
    <w:name w:val="Неразрешенное упоминание3"/>
    <w:link w:val="Style_231"/>
    <w:rPr>
      <w:color w:val="605E5C"/>
      <w:shd w:fill="E1DFDD" w:val="clear"/>
    </w:rPr>
  </w:style>
  <w:style w:styleId="Style_158" w:type="paragraph">
    <w:name w:val="Текст (лев. подпись)"/>
    <w:basedOn w:val="Style_15"/>
    <w:next w:val="Style_15"/>
    <w:link w:val="Style_158_ch"/>
    <w:pPr>
      <w:widowControl w:val="0"/>
      <w:spacing w:line="360" w:lineRule="auto"/>
      <w:ind/>
    </w:pPr>
    <w:rPr>
      <w:rFonts w:ascii="Times New Roman" w:hAnsi="Times New Roman"/>
      <w:sz w:val="24"/>
    </w:rPr>
  </w:style>
  <w:style w:styleId="Style_158_ch" w:type="character">
    <w:name w:val="Текст (лев. подпись)"/>
    <w:basedOn w:val="Style_15_ch"/>
    <w:link w:val="Style_158"/>
    <w:rPr>
      <w:rFonts w:ascii="Times New Roman" w:hAnsi="Times New Roman"/>
      <w:sz w:val="24"/>
    </w:rPr>
  </w:style>
  <w:style w:styleId="Style_232" w:type="paragraph">
    <w:name w:val="xl107"/>
    <w:basedOn w:val="Style_15"/>
    <w:link w:val="Style_232_ch"/>
    <w:pPr>
      <w:spacing w:afterAutospacing="on" w:beforeAutospacing="on"/>
      <w:ind/>
      <w:jc w:val="center"/>
    </w:pPr>
    <w:rPr>
      <w:rFonts w:ascii="Times New Roman" w:hAnsi="Times New Roman"/>
      <w:color w:val="000000"/>
      <w:sz w:val="16"/>
    </w:rPr>
  </w:style>
  <w:style w:styleId="Style_232_ch" w:type="character">
    <w:name w:val="xl107"/>
    <w:basedOn w:val="Style_15_ch"/>
    <w:link w:val="Style_232"/>
    <w:rPr>
      <w:rFonts w:ascii="Times New Roman" w:hAnsi="Times New Roman"/>
      <w:color w:val="000000"/>
      <w:sz w:val="16"/>
    </w:rPr>
  </w:style>
  <w:style w:styleId="Style_233" w:type="paragraph">
    <w:name w:val="xl112"/>
    <w:basedOn w:val="Style_15"/>
    <w:link w:val="Style_233_ch"/>
    <w:pPr>
      <w:spacing w:afterAutospacing="on" w:beforeAutospacing="on"/>
      <w:ind/>
    </w:pPr>
    <w:rPr>
      <w:rFonts w:ascii="Times New Roman" w:hAnsi="Times New Roman"/>
      <w:color w:val="000000"/>
      <w:sz w:val="16"/>
    </w:rPr>
  </w:style>
  <w:style w:styleId="Style_233_ch" w:type="character">
    <w:name w:val="xl112"/>
    <w:basedOn w:val="Style_15_ch"/>
    <w:link w:val="Style_233"/>
    <w:rPr>
      <w:rFonts w:ascii="Times New Roman" w:hAnsi="Times New Roman"/>
      <w:color w:val="000000"/>
      <w:sz w:val="16"/>
    </w:rPr>
  </w:style>
  <w:style w:styleId="Style_234" w:type="paragraph">
    <w:name w:val="toc 5"/>
    <w:basedOn w:val="Style_15"/>
    <w:next w:val="Style_15"/>
    <w:link w:val="Style_234_ch"/>
    <w:uiPriority w:val="39"/>
    <w:pPr>
      <w:ind w:firstLine="0" w:left="960"/>
    </w:pPr>
    <w:rPr>
      <w:rFonts w:ascii="Calibri" w:hAnsi="Calibri"/>
      <w:sz w:val="20"/>
    </w:rPr>
  </w:style>
  <w:style w:styleId="Style_234_ch" w:type="character">
    <w:name w:val="toc 5"/>
    <w:basedOn w:val="Style_15_ch"/>
    <w:link w:val="Style_234"/>
    <w:rPr>
      <w:rFonts w:ascii="Calibri" w:hAnsi="Calibri"/>
      <w:sz w:val="20"/>
    </w:rPr>
  </w:style>
  <w:style w:styleId="Style_235" w:type="paragraph">
    <w:name w:val="xl126"/>
    <w:basedOn w:val="Style_15"/>
    <w:link w:val="Style_235_ch"/>
    <w:pPr>
      <w:spacing w:afterAutospacing="on" w:beforeAutospacing="on"/>
      <w:ind/>
      <w:jc w:val="center"/>
    </w:pPr>
    <w:rPr>
      <w:rFonts w:ascii="Times New Roman" w:hAnsi="Times New Roman"/>
      <w:b w:val="1"/>
      <w:sz w:val="16"/>
    </w:rPr>
  </w:style>
  <w:style w:styleId="Style_235_ch" w:type="character">
    <w:name w:val="xl126"/>
    <w:basedOn w:val="Style_15_ch"/>
    <w:link w:val="Style_235"/>
    <w:rPr>
      <w:rFonts w:ascii="Times New Roman" w:hAnsi="Times New Roman"/>
      <w:b w:val="1"/>
      <w:sz w:val="16"/>
    </w:rPr>
  </w:style>
  <w:style w:styleId="Style_236" w:type="paragraph">
    <w:name w:val="xl92"/>
    <w:basedOn w:val="Style_15"/>
    <w:link w:val="Style_236_ch"/>
    <w:pPr>
      <w:spacing w:afterAutospacing="on" w:beforeAutospacing="on"/>
      <w:ind/>
    </w:pPr>
    <w:rPr>
      <w:rFonts w:ascii="Times New Roman" w:hAnsi="Times New Roman"/>
      <w:sz w:val="14"/>
    </w:rPr>
  </w:style>
  <w:style w:styleId="Style_236_ch" w:type="character">
    <w:name w:val="xl92"/>
    <w:basedOn w:val="Style_15_ch"/>
    <w:link w:val="Style_236"/>
    <w:rPr>
      <w:rFonts w:ascii="Times New Roman" w:hAnsi="Times New Roman"/>
      <w:sz w:val="14"/>
    </w:rPr>
  </w:style>
  <w:style w:styleId="Style_237" w:type="paragraph">
    <w:name w:val="Название Знак1"/>
    <w:link w:val="Style_237_ch"/>
    <w:rPr>
      <w:rFonts w:ascii="Times New Roman" w:hAnsi="Times New Roman"/>
      <w:sz w:val="24"/>
    </w:rPr>
  </w:style>
  <w:style w:styleId="Style_237_ch" w:type="character">
    <w:name w:val="Название Знак1"/>
    <w:link w:val="Style_237"/>
    <w:rPr>
      <w:rFonts w:ascii="Times New Roman" w:hAnsi="Times New Roman"/>
      <w:sz w:val="24"/>
    </w:rPr>
  </w:style>
  <w:style w:styleId="Style_238" w:type="paragraph">
    <w:name w:val="Заголовок Знак"/>
    <w:basedOn w:val="Style_19"/>
    <w:link w:val="Style_238_ch"/>
    <w:rPr>
      <w:rFonts w:asciiTheme="majorAscii" w:hAnsiTheme="majorHAnsi"/>
      <w:spacing w:val="-10"/>
      <w:sz w:val="56"/>
    </w:rPr>
  </w:style>
  <w:style w:styleId="Style_238_ch" w:type="character">
    <w:name w:val="Заголовок Знак"/>
    <w:basedOn w:val="Style_19_ch"/>
    <w:link w:val="Style_238"/>
    <w:rPr>
      <w:rFonts w:asciiTheme="majorAscii" w:hAnsiTheme="majorHAnsi"/>
      <w:spacing w:val="-10"/>
      <w:sz w:val="56"/>
    </w:rPr>
  </w:style>
  <w:style w:styleId="Style_239" w:type="paragraph">
    <w:name w:val="xl117"/>
    <w:basedOn w:val="Style_15"/>
    <w:link w:val="Style_239_ch"/>
    <w:pPr>
      <w:spacing w:afterAutospacing="on" w:beforeAutospacing="on"/>
      <w:ind/>
    </w:pPr>
    <w:rPr>
      <w:rFonts w:ascii="Times New Roman" w:hAnsi="Times New Roman"/>
      <w:sz w:val="14"/>
    </w:rPr>
  </w:style>
  <w:style w:styleId="Style_239_ch" w:type="character">
    <w:name w:val="xl117"/>
    <w:basedOn w:val="Style_15_ch"/>
    <w:link w:val="Style_239"/>
    <w:rPr>
      <w:rFonts w:ascii="Times New Roman" w:hAnsi="Times New Roman"/>
      <w:sz w:val="14"/>
    </w:rPr>
  </w:style>
  <w:style w:styleId="Style_240" w:type="paragraph">
    <w:name w:val="Subtle Emphasis"/>
    <w:link w:val="Style_240_ch"/>
    <w:rPr>
      <w:i w:val="1"/>
      <w:color w:val="404040"/>
    </w:rPr>
  </w:style>
  <w:style w:styleId="Style_240_ch" w:type="character">
    <w:name w:val="Subtle Emphasis"/>
    <w:link w:val="Style_240"/>
    <w:rPr>
      <w:i w:val="1"/>
      <w:color w:val="404040"/>
    </w:rPr>
  </w:style>
  <w:style w:styleId="Style_241" w:type="paragraph">
    <w:name w:val="xl144"/>
    <w:basedOn w:val="Style_15"/>
    <w:link w:val="Style_241_ch"/>
    <w:pPr>
      <w:spacing w:afterAutospacing="on" w:beforeAutospacing="on"/>
      <w:ind/>
      <w:jc w:val="center"/>
    </w:pPr>
    <w:rPr>
      <w:rFonts w:ascii="Times New Roman" w:hAnsi="Times New Roman"/>
      <w:color w:val="000000"/>
      <w:sz w:val="16"/>
    </w:rPr>
  </w:style>
  <w:style w:styleId="Style_241_ch" w:type="character">
    <w:name w:val="xl144"/>
    <w:basedOn w:val="Style_15_ch"/>
    <w:link w:val="Style_241"/>
    <w:rPr>
      <w:rFonts w:ascii="Times New Roman" w:hAnsi="Times New Roman"/>
      <w:color w:val="000000"/>
      <w:sz w:val="16"/>
    </w:rPr>
  </w:style>
  <w:style w:styleId="Style_242" w:type="paragraph">
    <w:name w:val="Strong"/>
    <w:link w:val="Style_242_ch"/>
    <w:rPr>
      <w:b w:val="1"/>
    </w:rPr>
  </w:style>
  <w:style w:styleId="Style_242_ch" w:type="character">
    <w:name w:val="Strong"/>
    <w:link w:val="Style_242"/>
    <w:rPr>
      <w:b w:val="1"/>
    </w:rPr>
  </w:style>
  <w:style w:styleId="Style_243" w:type="paragraph">
    <w:link w:val="Style_243_ch"/>
    <w:semiHidden w:val="1"/>
    <w:unhideWhenUsed w:val="1"/>
  </w:style>
  <w:style w:styleId="Style_243_ch" w:type="character">
    <w:link w:val="Style_243"/>
    <w:semiHidden w:val="1"/>
    <w:unhideWhenUsed w:val="1"/>
  </w:style>
  <w:style w:styleId="Style_215" w:type="paragraph">
    <w:name w:val="Комментарий"/>
    <w:basedOn w:val="Style_172"/>
    <w:next w:val="Style_15"/>
    <w:link w:val="Style_215_ch"/>
    <w:pPr>
      <w:spacing w:before="75"/>
      <w:ind w:right="0"/>
      <w:jc w:val="both"/>
    </w:pPr>
    <w:rPr>
      <w:color w:val="353842"/>
    </w:rPr>
  </w:style>
  <w:style w:styleId="Style_215_ch" w:type="character">
    <w:name w:val="Комментарий"/>
    <w:basedOn w:val="Style_172_ch"/>
    <w:link w:val="Style_215"/>
    <w:rPr>
      <w:color w:val="353842"/>
    </w:rPr>
  </w:style>
  <w:style w:styleId="Style_244" w:type="paragraph">
    <w:name w:val="xl171"/>
    <w:basedOn w:val="Style_15"/>
    <w:link w:val="Style_244_ch"/>
    <w:pPr>
      <w:spacing w:afterAutospacing="on" w:beforeAutospacing="on"/>
      <w:ind/>
      <w:jc w:val="center"/>
    </w:pPr>
    <w:rPr>
      <w:rFonts w:ascii="Times New Roman" w:hAnsi="Times New Roman"/>
      <w:i w:val="1"/>
      <w:sz w:val="14"/>
    </w:rPr>
  </w:style>
  <w:style w:styleId="Style_244_ch" w:type="character">
    <w:name w:val="xl171"/>
    <w:basedOn w:val="Style_15_ch"/>
    <w:link w:val="Style_244"/>
    <w:rPr>
      <w:rFonts w:ascii="Times New Roman" w:hAnsi="Times New Roman"/>
      <w:i w:val="1"/>
      <w:sz w:val="14"/>
    </w:rPr>
  </w:style>
  <w:style w:styleId="Style_245" w:type="paragraph">
    <w:name w:val="xl91"/>
    <w:basedOn w:val="Style_15"/>
    <w:link w:val="Style_245_ch"/>
    <w:pPr>
      <w:spacing w:afterAutospacing="on" w:beforeAutospacing="on"/>
      <w:ind/>
    </w:pPr>
    <w:rPr>
      <w:rFonts w:ascii="Times New Roman" w:hAnsi="Times New Roman"/>
      <w:sz w:val="14"/>
    </w:rPr>
  </w:style>
  <w:style w:styleId="Style_245_ch" w:type="character">
    <w:name w:val="xl91"/>
    <w:basedOn w:val="Style_15_ch"/>
    <w:link w:val="Style_245"/>
    <w:rPr>
      <w:rFonts w:ascii="Times New Roman" w:hAnsi="Times New Roman"/>
      <w:sz w:val="14"/>
    </w:rPr>
  </w:style>
  <w:style w:styleId="Style_246" w:type="paragraph">
    <w:name w:val="Заголовок Знак1"/>
    <w:basedOn w:val="Style_19"/>
    <w:link w:val="Style_246_ch"/>
    <w:rPr>
      <w:rFonts w:asciiTheme="majorAscii" w:hAnsiTheme="majorHAnsi"/>
      <w:spacing w:val="-10"/>
      <w:sz w:val="56"/>
    </w:rPr>
  </w:style>
  <w:style w:styleId="Style_246_ch" w:type="character">
    <w:name w:val="Заголовок Знак1"/>
    <w:basedOn w:val="Style_19_ch"/>
    <w:link w:val="Style_246"/>
    <w:rPr>
      <w:rFonts w:asciiTheme="majorAscii" w:hAnsiTheme="majorHAnsi"/>
      <w:spacing w:val="-10"/>
      <w:sz w:val="56"/>
    </w:rPr>
  </w:style>
  <w:style w:styleId="Style_247" w:type="paragraph">
    <w:name w:val="xl79"/>
    <w:basedOn w:val="Style_15"/>
    <w:link w:val="Style_247_ch"/>
    <w:pPr>
      <w:spacing w:afterAutospacing="on" w:beforeAutospacing="on"/>
      <w:ind/>
    </w:pPr>
    <w:rPr>
      <w:rFonts w:ascii="Times New Roman" w:hAnsi="Times New Roman"/>
      <w:sz w:val="14"/>
    </w:rPr>
  </w:style>
  <w:style w:styleId="Style_247_ch" w:type="character">
    <w:name w:val="xl79"/>
    <w:basedOn w:val="Style_15_ch"/>
    <w:link w:val="Style_247"/>
    <w:rPr>
      <w:rFonts w:ascii="Times New Roman" w:hAnsi="Times New Roman"/>
      <w:sz w:val="14"/>
    </w:rPr>
  </w:style>
  <w:style w:styleId="Style_248" w:type="paragraph">
    <w:name w:val="Активная гипертекстовая ссылка"/>
    <w:link w:val="Style_248_ch"/>
    <w:rPr>
      <w:b w:val="1"/>
      <w:color w:val="106BBE"/>
      <w:u w:val="single"/>
    </w:rPr>
  </w:style>
  <w:style w:styleId="Style_248_ch" w:type="character">
    <w:name w:val="Активная гипертекстовая ссылка"/>
    <w:link w:val="Style_248"/>
    <w:rPr>
      <w:b w:val="1"/>
      <w:color w:val="106BBE"/>
      <w:u w:val="single"/>
    </w:rPr>
  </w:style>
  <w:style w:styleId="Style_80" w:type="paragraph">
    <w:name w:val="Нормальный (таблица)"/>
    <w:basedOn w:val="Style_15"/>
    <w:next w:val="Style_15"/>
    <w:link w:val="Style_80_ch"/>
    <w:pPr>
      <w:widowControl w:val="0"/>
      <w:spacing w:line="360" w:lineRule="auto"/>
      <w:ind/>
      <w:jc w:val="both"/>
    </w:pPr>
    <w:rPr>
      <w:rFonts w:ascii="Times New Roman" w:hAnsi="Times New Roman"/>
      <w:sz w:val="24"/>
    </w:rPr>
  </w:style>
  <w:style w:styleId="Style_80_ch" w:type="character">
    <w:name w:val="Нормальный (таблица)"/>
    <w:basedOn w:val="Style_15_ch"/>
    <w:link w:val="Style_80"/>
    <w:rPr>
      <w:rFonts w:ascii="Times New Roman" w:hAnsi="Times New Roman"/>
      <w:sz w:val="24"/>
    </w:rPr>
  </w:style>
  <w:style w:styleId="Style_249" w:type="paragraph">
    <w:name w:val="Утратил силу"/>
    <w:link w:val="Style_249_ch"/>
    <w:rPr>
      <w:b w:val="1"/>
      <w:strike w:val="1"/>
      <w:color w:val="666600"/>
    </w:rPr>
  </w:style>
  <w:style w:styleId="Style_249_ch" w:type="character">
    <w:name w:val="Утратил силу"/>
    <w:link w:val="Style_249"/>
    <w:rPr>
      <w:b w:val="1"/>
      <w:strike w:val="1"/>
      <w:color w:val="666600"/>
    </w:rPr>
  </w:style>
  <w:style w:styleId="Style_222" w:type="paragraph">
    <w:name w:val="Subtitle"/>
    <w:basedOn w:val="Style_15"/>
    <w:next w:val="Style_15"/>
    <w:link w:val="Style_222_ch"/>
    <w:uiPriority w:val="11"/>
    <w:qFormat/>
    <w:pPr>
      <w:numPr>
        <w:ilvl w:val="1"/>
      </w:numPr>
      <w:spacing w:after="160" w:line="264" w:lineRule="auto"/>
      <w:ind/>
    </w:pPr>
    <w:rPr>
      <w:color w:themeColor="text1" w:themeTint="A5" w:val="595959"/>
      <w:spacing w:val="15"/>
    </w:rPr>
  </w:style>
  <w:style w:styleId="Style_222_ch" w:type="character">
    <w:name w:val="Subtitle"/>
    <w:basedOn w:val="Style_15_ch"/>
    <w:link w:val="Style_222"/>
    <w:rPr>
      <w:color w:themeColor="text1" w:themeTint="A5" w:val="595959"/>
      <w:spacing w:val="15"/>
    </w:rPr>
  </w:style>
  <w:style w:styleId="Style_250" w:type="paragraph">
    <w:name w:val="xl135"/>
    <w:basedOn w:val="Style_15"/>
    <w:link w:val="Style_250_ch"/>
    <w:pPr>
      <w:spacing w:afterAutospacing="on" w:beforeAutospacing="on"/>
      <w:ind/>
      <w:jc w:val="center"/>
    </w:pPr>
    <w:rPr>
      <w:rFonts w:ascii="Times New Roman" w:hAnsi="Times New Roman"/>
      <w:b w:val="1"/>
      <w:sz w:val="16"/>
    </w:rPr>
  </w:style>
  <w:style w:styleId="Style_250_ch" w:type="character">
    <w:name w:val="xl135"/>
    <w:basedOn w:val="Style_15_ch"/>
    <w:link w:val="Style_250"/>
    <w:rPr>
      <w:rFonts w:ascii="Times New Roman" w:hAnsi="Times New Roman"/>
      <w:b w:val="1"/>
      <w:sz w:val="16"/>
    </w:rPr>
  </w:style>
  <w:style w:styleId="Style_251" w:type="paragraph">
    <w:name w:val="xl168"/>
    <w:basedOn w:val="Style_15"/>
    <w:link w:val="Style_251_ch"/>
    <w:pPr>
      <w:spacing w:afterAutospacing="on" w:beforeAutospacing="on"/>
      <w:ind/>
      <w:jc w:val="center"/>
    </w:pPr>
    <w:rPr>
      <w:rFonts w:ascii="Times New Roman" w:hAnsi="Times New Roman"/>
      <w:b w:val="1"/>
      <w:sz w:val="14"/>
    </w:rPr>
  </w:style>
  <w:style w:styleId="Style_251_ch" w:type="character">
    <w:name w:val="xl168"/>
    <w:basedOn w:val="Style_15_ch"/>
    <w:link w:val="Style_251"/>
    <w:rPr>
      <w:rFonts w:ascii="Times New Roman" w:hAnsi="Times New Roman"/>
      <w:b w:val="1"/>
      <w:sz w:val="14"/>
    </w:rPr>
  </w:style>
  <w:style w:styleId="Style_96" w:type="paragraph">
    <w:name w:val="Основное меню (преемственное)"/>
    <w:basedOn w:val="Style_15"/>
    <w:next w:val="Style_15"/>
    <w:link w:val="Style_96_ch"/>
    <w:pPr>
      <w:widowControl w:val="0"/>
      <w:spacing w:line="360" w:lineRule="auto"/>
      <w:ind w:firstLine="720" w:left="0"/>
      <w:jc w:val="both"/>
    </w:pPr>
    <w:rPr>
      <w:rFonts w:ascii="Verdana" w:hAnsi="Verdana"/>
    </w:rPr>
  </w:style>
  <w:style w:styleId="Style_96_ch" w:type="character">
    <w:name w:val="Основное меню (преемственное)"/>
    <w:basedOn w:val="Style_15_ch"/>
    <w:link w:val="Style_96"/>
    <w:rPr>
      <w:rFonts w:ascii="Verdana" w:hAnsi="Verdana"/>
    </w:rPr>
  </w:style>
  <w:style w:styleId="Style_252" w:type="paragraph">
    <w:name w:val="xl152"/>
    <w:basedOn w:val="Style_15"/>
    <w:link w:val="Style_252_ch"/>
    <w:pPr>
      <w:spacing w:afterAutospacing="on" w:beforeAutospacing="on"/>
      <w:ind/>
    </w:pPr>
    <w:rPr>
      <w:rFonts w:ascii="Times New Roman" w:hAnsi="Times New Roman"/>
      <w:sz w:val="24"/>
    </w:rPr>
  </w:style>
  <w:style w:styleId="Style_252_ch" w:type="character">
    <w:name w:val="xl152"/>
    <w:basedOn w:val="Style_15_ch"/>
    <w:link w:val="Style_252"/>
    <w:rPr>
      <w:rFonts w:ascii="Times New Roman" w:hAnsi="Times New Roman"/>
      <w:sz w:val="24"/>
    </w:rPr>
  </w:style>
  <w:style w:styleId="Style_253" w:type="paragraph">
    <w:name w:val="Title"/>
    <w:basedOn w:val="Style_15"/>
    <w:next w:val="Style_15"/>
    <w:link w:val="Style_253_ch"/>
    <w:uiPriority w:val="10"/>
    <w:qFormat/>
    <w:pPr>
      <w:spacing w:after="120" w:line="276" w:lineRule="auto"/>
      <w:ind w:firstLine="709" w:left="0"/>
      <w:outlineLvl w:val="0"/>
    </w:pPr>
    <w:rPr>
      <w:rFonts w:ascii="Segoe UI" w:hAnsi="Segoe UI"/>
      <w:sz w:val="24"/>
    </w:rPr>
  </w:style>
  <w:style w:styleId="Style_253_ch" w:type="character">
    <w:name w:val="Title"/>
    <w:basedOn w:val="Style_15_ch"/>
    <w:link w:val="Style_253"/>
    <w:rPr>
      <w:rFonts w:ascii="Segoe UI" w:hAnsi="Segoe UI"/>
      <w:sz w:val="24"/>
    </w:rPr>
  </w:style>
  <w:style w:styleId="Style_254" w:type="paragraph">
    <w:name w:val="xl120"/>
    <w:basedOn w:val="Style_15"/>
    <w:link w:val="Style_254_ch"/>
    <w:pPr>
      <w:spacing w:afterAutospacing="on" w:beforeAutospacing="on"/>
      <w:ind/>
      <w:jc w:val="center"/>
    </w:pPr>
    <w:rPr>
      <w:rFonts w:ascii="Times New Roman" w:hAnsi="Times New Roman"/>
      <w:b w:val="1"/>
      <w:i w:val="1"/>
      <w:color w:val="000000"/>
      <w:sz w:val="16"/>
    </w:rPr>
  </w:style>
  <w:style w:styleId="Style_254_ch" w:type="character">
    <w:name w:val="xl120"/>
    <w:basedOn w:val="Style_15_ch"/>
    <w:link w:val="Style_254"/>
    <w:rPr>
      <w:rFonts w:ascii="Times New Roman" w:hAnsi="Times New Roman"/>
      <w:b w:val="1"/>
      <w:i w:val="1"/>
      <w:color w:val="000000"/>
      <w:sz w:val="16"/>
    </w:rPr>
  </w:style>
  <w:style w:styleId="Style_255" w:type="paragraph">
    <w:name w:val="heading 4"/>
    <w:basedOn w:val="Style_67"/>
    <w:next w:val="Style_15"/>
    <w:link w:val="Style_255_ch"/>
    <w:uiPriority w:val="9"/>
    <w:qFormat/>
    <w:pPr>
      <w:keepLines w:val="1"/>
      <w:spacing w:after="240" w:line="360" w:lineRule="auto"/>
      <w:ind/>
      <w:jc w:val="center"/>
      <w:outlineLvl w:val="3"/>
    </w:pPr>
    <w:rPr>
      <w:rFonts w:ascii="Times New Roman" w:hAnsi="Times New Roman"/>
      <w:sz w:val="24"/>
    </w:rPr>
  </w:style>
  <w:style w:styleId="Style_255_ch" w:type="character">
    <w:name w:val="heading 4"/>
    <w:basedOn w:val="Style_67_ch"/>
    <w:link w:val="Style_255"/>
    <w:rPr>
      <w:rFonts w:ascii="Times New Roman" w:hAnsi="Times New Roman"/>
      <w:sz w:val="24"/>
    </w:rPr>
  </w:style>
  <w:style w:styleId="Style_1" w:type="paragraph">
    <w:name w:val="header"/>
    <w:basedOn w:val="Style_15"/>
    <w:link w:val="Style_1_ch"/>
    <w:pPr>
      <w:tabs>
        <w:tab w:leader="none" w:pos="4677" w:val="center"/>
        <w:tab w:leader="none" w:pos="9355" w:val="right"/>
      </w:tabs>
      <w:ind/>
    </w:pPr>
  </w:style>
  <w:style w:styleId="Style_1_ch" w:type="character">
    <w:name w:val="header"/>
    <w:basedOn w:val="Style_15_ch"/>
    <w:link w:val="Style_1"/>
  </w:style>
  <w:style w:styleId="Style_256" w:type="paragraph">
    <w:name w:val="xl104"/>
    <w:basedOn w:val="Style_15"/>
    <w:link w:val="Style_256_ch"/>
    <w:pPr>
      <w:spacing w:afterAutospacing="on" w:beforeAutospacing="on"/>
      <w:ind/>
    </w:pPr>
    <w:rPr>
      <w:rFonts w:ascii="Times New Roman" w:hAnsi="Times New Roman"/>
      <w:b w:val="1"/>
      <w:color w:val="000000"/>
      <w:sz w:val="16"/>
    </w:rPr>
  </w:style>
  <w:style w:styleId="Style_256_ch" w:type="character">
    <w:name w:val="xl104"/>
    <w:basedOn w:val="Style_15_ch"/>
    <w:link w:val="Style_256"/>
    <w:rPr>
      <w:rFonts w:ascii="Times New Roman" w:hAnsi="Times New Roman"/>
      <w:b w:val="1"/>
      <w:color w:val="000000"/>
      <w:sz w:val="16"/>
    </w:rPr>
  </w:style>
  <w:style w:styleId="Style_257" w:type="paragraph">
    <w:name w:val="xl124"/>
    <w:basedOn w:val="Style_15"/>
    <w:link w:val="Style_257_ch"/>
    <w:pPr>
      <w:spacing w:afterAutospacing="on" w:beforeAutospacing="on"/>
      <w:ind/>
      <w:jc w:val="center"/>
    </w:pPr>
    <w:rPr>
      <w:rFonts w:ascii="Times New Roman" w:hAnsi="Times New Roman"/>
      <w:b w:val="1"/>
      <w:color w:val="000000"/>
      <w:sz w:val="16"/>
    </w:rPr>
  </w:style>
  <w:style w:styleId="Style_257_ch" w:type="character">
    <w:name w:val="xl124"/>
    <w:basedOn w:val="Style_15_ch"/>
    <w:link w:val="Style_257"/>
    <w:rPr>
      <w:rFonts w:ascii="Times New Roman" w:hAnsi="Times New Roman"/>
      <w:b w:val="1"/>
      <w:color w:val="000000"/>
      <w:sz w:val="16"/>
    </w:rPr>
  </w:style>
  <w:style w:styleId="Style_258" w:type="paragraph">
    <w:name w:val="xl72"/>
    <w:basedOn w:val="Style_15"/>
    <w:link w:val="Style_258_ch"/>
    <w:pPr>
      <w:spacing w:afterAutospacing="on" w:beforeAutospacing="on"/>
      <w:ind/>
    </w:pPr>
    <w:rPr>
      <w:rFonts w:ascii="Times New Roman" w:hAnsi="Times New Roman"/>
      <w:b w:val="1"/>
      <w:color w:val="000000"/>
      <w:sz w:val="16"/>
    </w:rPr>
  </w:style>
  <w:style w:styleId="Style_258_ch" w:type="character">
    <w:name w:val="xl72"/>
    <w:basedOn w:val="Style_15_ch"/>
    <w:link w:val="Style_258"/>
    <w:rPr>
      <w:rFonts w:ascii="Times New Roman" w:hAnsi="Times New Roman"/>
      <w:b w:val="1"/>
      <w:color w:val="000000"/>
      <w:sz w:val="16"/>
    </w:rPr>
  </w:style>
  <w:style w:styleId="Style_259" w:type="paragraph">
    <w:name w:val="xl86"/>
    <w:basedOn w:val="Style_15"/>
    <w:link w:val="Style_259_ch"/>
    <w:pPr>
      <w:spacing w:afterAutospacing="on" w:beforeAutospacing="on"/>
      <w:ind/>
      <w:jc w:val="center"/>
    </w:pPr>
    <w:rPr>
      <w:rFonts w:ascii="Times New Roman" w:hAnsi="Times New Roman"/>
      <w:i w:val="1"/>
      <w:sz w:val="14"/>
    </w:rPr>
  </w:style>
  <w:style w:styleId="Style_259_ch" w:type="character">
    <w:name w:val="xl86"/>
    <w:basedOn w:val="Style_15_ch"/>
    <w:link w:val="Style_259"/>
    <w:rPr>
      <w:rFonts w:ascii="Times New Roman" w:hAnsi="Times New Roman"/>
      <w:i w:val="1"/>
      <w:sz w:val="14"/>
    </w:rPr>
  </w:style>
  <w:style w:styleId="Style_260" w:type="paragraph">
    <w:name w:val="Информация об изменениях документа"/>
    <w:basedOn w:val="Style_215"/>
    <w:next w:val="Style_15"/>
    <w:link w:val="Style_260_ch"/>
    <w:rPr>
      <w:i w:val="1"/>
    </w:rPr>
  </w:style>
  <w:style w:styleId="Style_260_ch" w:type="character">
    <w:name w:val="Информация об изменениях документа"/>
    <w:basedOn w:val="Style_215_ch"/>
    <w:link w:val="Style_260"/>
    <w:rPr>
      <w:i w:val="1"/>
    </w:rPr>
  </w:style>
  <w:style w:styleId="Style_261" w:type="paragraph">
    <w:name w:val="heading 2"/>
    <w:basedOn w:val="Style_15"/>
    <w:next w:val="Style_15"/>
    <w:link w:val="Style_261_ch"/>
    <w:uiPriority w:val="9"/>
    <w:qFormat/>
    <w:pPr>
      <w:keepNext w:val="1"/>
      <w:spacing w:after="60" w:before="240"/>
      <w:ind/>
      <w:outlineLvl w:val="1"/>
    </w:pPr>
    <w:rPr>
      <w:rFonts w:ascii="Arial" w:hAnsi="Arial"/>
      <w:b w:val="1"/>
      <w:i w:val="1"/>
      <w:sz w:val="28"/>
    </w:rPr>
  </w:style>
  <w:style w:styleId="Style_261_ch" w:type="character">
    <w:name w:val="heading 2"/>
    <w:basedOn w:val="Style_15_ch"/>
    <w:link w:val="Style_261"/>
    <w:rPr>
      <w:rFonts w:ascii="Arial" w:hAnsi="Arial"/>
      <w:b w:val="1"/>
      <w:i w:val="1"/>
      <w:sz w:val="28"/>
    </w:rPr>
  </w:style>
  <w:style w:styleId="Style_262" w:type="paragraph">
    <w:name w:val="xl143"/>
    <w:basedOn w:val="Style_15"/>
    <w:link w:val="Style_262_ch"/>
    <w:pPr>
      <w:spacing w:afterAutospacing="on" w:beforeAutospacing="on"/>
      <w:ind/>
    </w:pPr>
    <w:rPr>
      <w:rFonts w:ascii="Times New Roman" w:hAnsi="Times New Roman"/>
      <w:color w:val="000000"/>
      <w:sz w:val="16"/>
    </w:rPr>
  </w:style>
  <w:style w:styleId="Style_262_ch" w:type="character">
    <w:name w:val="xl143"/>
    <w:basedOn w:val="Style_15_ch"/>
    <w:link w:val="Style_262"/>
    <w:rPr>
      <w:rFonts w:ascii="Times New Roman" w:hAnsi="Times New Roman"/>
      <w:color w:val="000000"/>
      <w:sz w:val="16"/>
    </w:rPr>
  </w:style>
  <w:style w:styleId="Style_263" w:type="paragraph">
    <w:name w:val="Колонтитул (правый)"/>
    <w:basedOn w:val="Style_84"/>
    <w:next w:val="Style_15"/>
    <w:link w:val="Style_263_ch"/>
    <w:rPr>
      <w:sz w:val="14"/>
    </w:rPr>
  </w:style>
  <w:style w:styleId="Style_263_ch" w:type="character">
    <w:name w:val="Колонтитул (правый)"/>
    <w:basedOn w:val="Style_84_ch"/>
    <w:link w:val="Style_263"/>
    <w:rPr>
      <w:sz w:val="14"/>
    </w:rPr>
  </w:style>
  <w:style w:styleId="Style_264" w:type="paragraph">
    <w:name w:val="xl147"/>
    <w:basedOn w:val="Style_15"/>
    <w:link w:val="Style_264_ch"/>
    <w:pPr>
      <w:spacing w:afterAutospacing="on" w:beforeAutospacing="on"/>
      <w:ind/>
      <w:jc w:val="center"/>
    </w:pPr>
    <w:rPr>
      <w:rFonts w:ascii="Times New Roman" w:hAnsi="Times New Roman"/>
      <w:color w:val="000000"/>
      <w:sz w:val="16"/>
    </w:rPr>
  </w:style>
  <w:style w:styleId="Style_264_ch" w:type="character">
    <w:name w:val="xl147"/>
    <w:basedOn w:val="Style_15_ch"/>
    <w:link w:val="Style_264"/>
    <w:rPr>
      <w:rFonts w:ascii="Times New Roman" w:hAnsi="Times New Roman"/>
      <w:color w:val="000000"/>
      <w:sz w:val="16"/>
    </w:rPr>
  </w:style>
  <w:style w:styleId="Style_265" w:type="paragraph">
    <w:name w:val="Информация об изменениях"/>
    <w:basedOn w:val="Style_36"/>
    <w:next w:val="Style_15"/>
    <w:link w:val="Style_265_ch"/>
    <w:pPr>
      <w:spacing w:before="180"/>
      <w:ind w:firstLine="0" w:left="360" w:right="360"/>
    </w:pPr>
  </w:style>
  <w:style w:styleId="Style_265_ch" w:type="character">
    <w:name w:val="Информация об изменениях"/>
    <w:basedOn w:val="Style_36_ch"/>
    <w:link w:val="Style_265"/>
  </w:style>
  <w:style w:styleId="Style_266" w:type="paragraph">
    <w:name w:val="xl114"/>
    <w:basedOn w:val="Style_15"/>
    <w:link w:val="Style_266_ch"/>
    <w:pPr>
      <w:spacing w:afterAutospacing="on" w:beforeAutospacing="on"/>
      <w:ind/>
    </w:pPr>
    <w:rPr>
      <w:rFonts w:ascii="Times New Roman" w:hAnsi="Times New Roman"/>
      <w:b w:val="1"/>
      <w:i w:val="1"/>
      <w:color w:val="000000"/>
      <w:sz w:val="16"/>
    </w:rPr>
  </w:style>
  <w:style w:styleId="Style_266_ch" w:type="character">
    <w:name w:val="xl114"/>
    <w:basedOn w:val="Style_15_ch"/>
    <w:link w:val="Style_266"/>
    <w:rPr>
      <w:rFonts w:ascii="Times New Roman" w:hAnsi="Times New Roman"/>
      <w:b w:val="1"/>
      <w:i w:val="1"/>
      <w:color w:val="000000"/>
      <w:sz w:val="16"/>
    </w:rPr>
  </w:style>
  <w:style w:styleId="Style_267" w:type="paragraph">
    <w:name w:val="footer"/>
    <w:basedOn w:val="Style_15"/>
    <w:link w:val="Style_267_ch"/>
    <w:pPr>
      <w:tabs>
        <w:tab w:leader="none" w:pos="4677" w:val="center"/>
        <w:tab w:leader="none" w:pos="9355" w:val="right"/>
      </w:tabs>
      <w:ind/>
    </w:pPr>
  </w:style>
  <w:style w:styleId="Style_267_ch" w:type="character">
    <w:name w:val="footer"/>
    <w:basedOn w:val="Style_15_ch"/>
    <w:link w:val="Style_267"/>
  </w:style>
  <w:style w:styleId="Style_268" w:type="paragraph">
    <w:name w:val="xl170"/>
    <w:basedOn w:val="Style_15"/>
    <w:link w:val="Style_268_ch"/>
    <w:pPr>
      <w:spacing w:afterAutospacing="on" w:beforeAutospacing="on"/>
      <w:ind/>
      <w:jc w:val="center"/>
    </w:pPr>
    <w:rPr>
      <w:rFonts w:ascii="Times New Roman" w:hAnsi="Times New Roman"/>
      <w:i w:val="1"/>
      <w:sz w:val="14"/>
    </w:rPr>
  </w:style>
  <w:style w:styleId="Style_268_ch" w:type="character">
    <w:name w:val="xl170"/>
    <w:basedOn w:val="Style_15_ch"/>
    <w:link w:val="Style_268"/>
    <w:rPr>
      <w:rFonts w:ascii="Times New Roman" w:hAnsi="Times New Roman"/>
      <w:i w:val="1"/>
      <w:sz w:val="14"/>
    </w:rPr>
  </w:style>
  <w:style w:styleId="Style_269" w:type="paragraph">
    <w:name w:val="Font Style11"/>
    <w:link w:val="Style_269_ch"/>
    <w:rPr>
      <w:rFonts w:ascii="Times New Roman" w:hAnsi="Times New Roman"/>
      <w:sz w:val="22"/>
    </w:rPr>
  </w:style>
  <w:style w:styleId="Style_269_ch" w:type="character">
    <w:name w:val="Font Style11"/>
    <w:link w:val="Style_269"/>
    <w:rPr>
      <w:rFonts w:ascii="Times New Roman" w:hAnsi="Times New Roman"/>
      <w:sz w:val="22"/>
    </w:rPr>
  </w:style>
  <w:style w:styleId="Style_270" w:type="table">
    <w:name w:val="Сетка таблицы21"/>
    <w:basedOn w:val="Style_8"/>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1" w:type="table">
    <w:name w:val="Table Normal"/>
    <w:pPr>
      <w:widowControl w:val="0"/>
      <w:ind/>
    </w:pPr>
    <w:tblPr>
      <w:tblInd w:type="dxa" w:w="0"/>
      <w:tblCellMar>
        <w:top w:type="dxa" w:w="0"/>
        <w:left w:type="dxa" w:w="0"/>
        <w:bottom w:type="dxa" w:w="0"/>
        <w:right w:type="dxa" w:w="0"/>
      </w:tblCellMar>
    </w:tblPr>
  </w:style>
  <w:style w:styleId="Style_272" w:type="table">
    <w:name w:val="Table Normal11"/>
    <w:pPr>
      <w:widowControl w:val="0"/>
      <w:ind/>
    </w:pPr>
    <w:tblPr>
      <w:tblInd w:type="dxa" w:w="0"/>
      <w:tblCellMar>
        <w:top w:type="dxa" w:w="0"/>
        <w:left w:type="dxa" w:w="0"/>
        <w:bottom w:type="dxa" w:w="0"/>
        <w:right w:type="dxa" w:w="0"/>
      </w:tblCellMar>
    </w:tblPr>
  </w:style>
  <w:style w:styleId="Style_273" w:type="table">
    <w:name w:val="Table Normal4"/>
    <w:pPr>
      <w:widowControl w:val="0"/>
      <w:ind/>
    </w:pPr>
    <w:tblPr>
      <w:tblInd w:type="dxa" w:w="0"/>
      <w:tblCellMar>
        <w:top w:type="dxa" w:w="0"/>
        <w:left w:type="dxa" w:w="0"/>
        <w:bottom w:type="dxa" w:w="0"/>
        <w:right w:type="dxa" w:w="0"/>
      </w:tblCellMar>
    </w:tblPr>
  </w:style>
  <w:style w:styleId="Style_274" w:type="table">
    <w:name w:val="Сетка таблицы11"/>
    <w:basedOn w:val="Style_8"/>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5" w:type="table">
    <w:name w:val="Table Normal5"/>
    <w:pPr>
      <w:widowControl w:val="0"/>
      <w:ind/>
    </w:pPr>
    <w:tblPr>
      <w:tblInd w:type="dxa" w:w="0"/>
      <w:tblCellMar>
        <w:top w:type="dxa" w:w="0"/>
        <w:left w:type="dxa" w:w="0"/>
        <w:bottom w:type="dxa" w:w="0"/>
        <w:right w:type="dxa" w:w="0"/>
      </w:tblCellMar>
    </w:tblPr>
  </w:style>
  <w:style w:styleId="Style_276" w:type="table">
    <w:name w:val="Сетка таблицы111"/>
    <w:basedOn w:val="Style_8"/>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7" w:type="table">
    <w:name w:val="Table Normal6"/>
    <w:pPr>
      <w:widowControl w:val="0"/>
      <w:ind/>
    </w:pPr>
    <w:tblPr>
      <w:tblInd w:type="dxa" w:w="0"/>
      <w:tblCellMar>
        <w:top w:type="dxa" w:w="0"/>
        <w:left w:type="dxa" w:w="0"/>
        <w:bottom w:type="dxa" w:w="0"/>
        <w:right w:type="dxa" w:w="0"/>
      </w:tblCellMar>
    </w:tblPr>
  </w:style>
  <w:style w:styleId="Style_278" w:type="table">
    <w:name w:val="Table Normal9"/>
    <w:pPr>
      <w:widowControl w:val="0"/>
      <w:ind/>
    </w:pPr>
    <w:tblPr>
      <w:tblInd w:type="dxa" w:w="0"/>
      <w:tblCellMar>
        <w:top w:type="dxa" w:w="0"/>
        <w:left w:type="dxa" w:w="0"/>
        <w:bottom w:type="dxa" w:w="0"/>
        <w:right w:type="dxa" w:w="0"/>
      </w:tblCellMar>
    </w:tblPr>
  </w:style>
  <w:style w:styleId="Style_279" w:type="table">
    <w:name w:val="Table Normal13"/>
    <w:pPr>
      <w:widowControl w:val="0"/>
      <w:ind/>
    </w:pPr>
    <w:rPr>
      <w:rFonts w:ascii="Calibri" w:hAnsi="Calibri"/>
    </w:rPr>
    <w:tblPr>
      <w:tblCellMar>
        <w:top w:type="dxa" w:w="0"/>
        <w:left w:type="dxa" w:w="0"/>
        <w:bottom w:type="dxa" w:w="0"/>
        <w:right w:type="dxa" w:w="0"/>
      </w:tblCellMar>
    </w:tblPr>
  </w:style>
  <w:style w:styleId="Style_280" w:type="table">
    <w:name w:val="Table Normal1"/>
    <w:pPr>
      <w:widowControl w:val="0"/>
      <w:ind/>
    </w:pPr>
    <w:tblPr>
      <w:tblInd w:type="dxa" w:w="0"/>
      <w:tblCellMar>
        <w:top w:type="dxa" w:w="0"/>
        <w:left w:type="dxa" w:w="0"/>
        <w:bottom w:type="dxa" w:w="0"/>
        <w:right w:type="dxa" w:w="0"/>
      </w:tblCellMar>
    </w:tblPr>
  </w:style>
  <w:style w:styleId="Style_10" w:type="table">
    <w:name w:val="Table Grid"/>
    <w:basedOn w:val="Style_8"/>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1" w:type="table">
    <w:name w:val="Сетка таблицы3"/>
    <w:basedOn w:val="Style_8"/>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2" w:type="table">
    <w:name w:val="Таблица простая 32"/>
    <w:basedOn w:val="Style_8"/>
    <w:rPr>
      <w:rFonts w:ascii="Calibri" w:hAnsi="Calibri"/>
      <w:sz w:val="20"/>
    </w:rPr>
  </w:style>
  <w:style w:styleId="Style_283" w:type="table">
    <w:name w:val="Таблица простая 31"/>
    <w:basedOn w:val="Style_8"/>
    <w:rPr>
      <w:rFonts w:ascii="Verdana" w:hAnsi="Verdana"/>
      <w:sz w:val="20"/>
    </w:rPr>
  </w:style>
  <w:style w:styleId="Style_284" w:type="table">
    <w:name w:val="Table Normal12"/>
    <w:pPr>
      <w:widowControl w:val="0"/>
      <w:ind/>
    </w:pPr>
    <w:tblPr>
      <w:tblInd w:type="dxa" w:w="0"/>
      <w:tblCellMar>
        <w:top w:type="dxa" w:w="0"/>
        <w:left w:type="dxa" w:w="0"/>
        <w:bottom w:type="dxa" w:w="0"/>
        <w:right w:type="dxa" w:w="0"/>
      </w:tblCellMar>
    </w:tblPr>
  </w:style>
  <w:style w:styleId="Style_285" w:type="table">
    <w:name w:val="Table Normal8"/>
    <w:pPr>
      <w:widowControl w:val="0"/>
      <w:ind/>
    </w:pPr>
    <w:tblPr>
      <w:tblInd w:type="dxa" w:w="0"/>
      <w:tblCellMar>
        <w:top w:type="dxa" w:w="0"/>
        <w:left w:type="dxa" w:w="0"/>
        <w:bottom w:type="dxa" w:w="0"/>
        <w:right w:type="dxa" w:w="0"/>
      </w:tblCellMar>
    </w:tblPr>
  </w:style>
  <w:style w:styleId="Style_286" w:type="table">
    <w:name w:val="Table Normal7"/>
    <w:pPr>
      <w:widowControl w:val="0"/>
      <w:ind/>
    </w:pPr>
    <w:tblPr>
      <w:tblInd w:type="dxa" w:w="0"/>
      <w:tblCellMar>
        <w:top w:type="dxa" w:w="0"/>
        <w:left w:type="dxa" w:w="0"/>
        <w:bottom w:type="dxa" w:w="0"/>
        <w:right w:type="dxa" w:w="0"/>
      </w:tblCellMar>
    </w:tblPr>
  </w:style>
  <w:style w:styleId="Style_287" w:type="table">
    <w:name w:val="Table Normal2"/>
    <w:pPr>
      <w:widowControl w:val="0"/>
      <w:ind/>
    </w:pPr>
    <w:tblPr>
      <w:tblInd w:type="dxa" w:w="0"/>
      <w:tblCellMar>
        <w:top w:type="dxa" w:w="0"/>
        <w:left w:type="dxa" w:w="0"/>
        <w:bottom w:type="dxa" w:w="0"/>
        <w:right w:type="dxa" w:w="0"/>
      </w:tblCellMar>
    </w:tblPr>
  </w:style>
  <w:style w:styleId="Style_288" w:type="table">
    <w:name w:val="Table Normal10"/>
    <w:pPr>
      <w:widowControl w:val="0"/>
      <w:ind/>
    </w:pPr>
    <w:tblPr>
      <w:tblInd w:type="dxa" w:w="0"/>
      <w:tblCellMar>
        <w:top w:type="dxa" w:w="0"/>
        <w:left w:type="dxa" w:w="0"/>
        <w:bottom w:type="dxa" w:w="0"/>
        <w:right w:type="dxa" w:w="0"/>
      </w:tblCellMar>
    </w:tblPr>
  </w:style>
  <w:style w:styleId="Style_289" w:type="table">
    <w:name w:val="Сетка таблицы2"/>
    <w:basedOn w:val="Style_8"/>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3" w:type="table">
    <w:name w:val="Сетка таблицы1"/>
    <w:basedOn w:val="Style_8"/>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8" w:type="table">
    <w:name w:val="Normal Table"/>
    <w:tblPr>
      <w:tblInd w:type="dxa" w:w="0"/>
      <w:tblCellMar>
        <w:top w:type="dxa" w:w="0"/>
        <w:left w:type="dxa" w:w="108"/>
        <w:bottom w:type="dxa" w:w="0"/>
        <w:right w:type="dxa" w:w="108"/>
      </w:tblCellMar>
    </w:tblPr>
  </w:style>
  <w:style w:styleId="Style_290" w:type="table">
    <w:name w:val="Сетка таблицы4"/>
    <w:basedOn w:val="Style_8"/>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91" w:type="table">
    <w:name w:val="Table Normal3"/>
    <w:pPr>
      <w:widowControl w:val="0"/>
      <w:ind/>
    </w:pPr>
    <w:tblPr>
      <w:tblInd w:type="dxa" w:w="0"/>
      <w:tblCellMar>
        <w:top w:type="dxa" w:w="0"/>
        <w:left w:type="dxa" w:w="0"/>
        <w:bottom w:type="dxa" w:w="0"/>
        <w:right w:type="dxa" w:w="0"/>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fontTable.xml" Type="http://schemas.openxmlformats.org/officeDocument/2006/relationships/fontTable"/>
  <Relationship Id="rId6" Target="header6.xml" Type="http://schemas.openxmlformats.org/officeDocument/2006/relationships/header"/>
  <Relationship Id="rId14" Target="endnotes.xml" Type="http://schemas.openxmlformats.org/officeDocument/2006/relationships/endnotes"/>
  <Relationship Id="rId13" Target="footnotes.xml" Type="http://schemas.openxmlformats.org/officeDocument/2006/relationships/footnotes"/>
  <Relationship Id="rId4" Target="header4.xml" Type="http://schemas.openxmlformats.org/officeDocument/2006/relationships/header"/>
  <Relationship Id="rId3" Target="header3.xml" Type="http://schemas.openxmlformats.org/officeDocument/2006/relationships/header"/>
  <Relationship Id="rId12" Target="theme/theme1.xml" Type="http://schemas.openxmlformats.org/officeDocument/2006/relationships/theme"/>
  <Relationship Id="rId10" Target="stylesWithEffects.xml" Type="http://schemas.microsoft.com/office/2007/relationships/stylesWithEffects"/>
  <Relationship Id="rId5" Target="header5.xml" Type="http://schemas.openxmlformats.org/officeDocument/2006/relationships/header"/>
  <Relationship Id="rId11" Target="webSettings.xml" Type="http://schemas.openxmlformats.org/officeDocument/2006/relationships/webSettings"/>
  <Relationship Id="rId8" Target="settings.xml" Type="http://schemas.openxmlformats.org/officeDocument/2006/relationships/settings"/>
  <Relationship Id="rId2" Target="header2.xml" Type="http://schemas.openxmlformats.org/officeDocument/2006/relationships/header"/>
  <Relationship Id="rId9" Target="styles.xml" Type="http://schemas.openxmlformats.org/officeDocument/2006/relationships/styles"/>
  <Relationship Id="rId15" Target="numbering.xml" Type="http://schemas.openxmlformats.org/officeDocument/2006/relationships/numbering"/>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2025-01-27T12:56:03Z</dcterms:modified>
</cp:coreProperties>
</file>