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0"/>
        <w:jc w:val="right"/>
        <w:rPr>
          <w:lang w:val="ru-RU"/>
        </w:rPr>
      </w:pPr>
      <w:r/>
      <w:bookmarkStart w:id="0" w:name="_Toc84499262"/>
      <w:r>
        <w:t xml:space="preserve">Приложение </w:t>
      </w:r>
      <w:bookmarkEnd w:id="0"/>
      <w:r>
        <w:rPr>
          <w:lang w:val="ru-RU"/>
        </w:rPr>
        <w:t xml:space="preserve">1</w:t>
      </w:r>
      <w:r/>
    </w:p>
    <w:p>
      <w:pPr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специальности</w:t>
      </w:r>
      <w:r/>
    </w:p>
    <w:p>
      <w:pPr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08.02.10 Строительство железных дорог, </w:t>
      </w:r>
      <w:r/>
    </w:p>
    <w:p>
      <w:pPr>
        <w:jc w:val="right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путь и путевое хозяйство</w:t>
      </w:r>
      <w:r/>
    </w:p>
    <w:p>
      <w:pPr>
        <w:ind w:left="566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120"/>
        <w:tabs>
          <w:tab w:val="right" w:pos="9639" w:leader="underscore"/>
        </w:tabs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  <w:vertAlign w:val="superscript"/>
        </w:rPr>
      </w:r>
      <w:r/>
    </w:p>
    <w:p>
      <w:pPr>
        <w:jc w:val="center"/>
        <w:rPr>
          <w:b/>
          <w:i/>
        </w:rPr>
      </w:pPr>
      <w:r>
        <w:rPr>
          <w:b/>
          <w:i/>
        </w:rPr>
      </w:r>
      <w:r/>
    </w:p>
    <w:p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pStyle w:val="780"/>
        <w:ind w:firstLine="0"/>
        <w:jc w:val="center"/>
        <w:rPr>
          <w:lang w:val="ru-RU"/>
        </w:rPr>
      </w:pPr>
      <w:r>
        <w:rPr>
          <w:lang w:val="ru-RU"/>
        </w:rPr>
        <w:t xml:space="preserve">Модель компетенций выпускника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i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08.02.10 Строительство железных дорог, путь и путевое хозяйство</w:t>
      </w:r>
      <w:r/>
    </w:p>
    <w:p>
      <w:pPr>
        <w:jc w:val="center"/>
        <w:spacing w:line="360" w:lineRule="auto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i/>
          <w:sz w:val="28"/>
          <w:szCs w:val="28"/>
          <w:vertAlign w:val="superscript"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</w:r>
      <w:r/>
    </w:p>
    <w:p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20</w:t>
      </w:r>
      <w:r>
        <w:rPr>
          <w:rFonts w:ascii="Times New Roman" w:hAnsi="Times New Roman"/>
          <w:b/>
          <w:iCs/>
          <w:sz w:val="24"/>
          <w:szCs w:val="24"/>
        </w:rPr>
        <w:t xml:space="preserve">22</w:t>
      </w:r>
      <w:r>
        <w:rPr>
          <w:rFonts w:ascii="Times New Roman" w:hAnsi="Times New Roman"/>
          <w:b/>
          <w:iCs/>
          <w:sz w:val="24"/>
          <w:szCs w:val="24"/>
        </w:rPr>
        <w:t xml:space="preserve"> г.</w:t>
      </w:r>
      <w:r/>
    </w:p>
    <w:p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  <w:r>
        <w:rPr>
          <w:rFonts w:ascii="Times New Roman" w:hAnsi="Times New Roman"/>
          <w:b/>
          <w:iCs/>
          <w:sz w:val="24"/>
          <w:szCs w:val="24"/>
        </w:rPr>
        <w:t xml:space="preserve">Пояснительная записка</w:t>
      </w:r>
      <w:r/>
    </w:p>
    <w:p>
      <w:pPr>
        <w:contextualSpacing/>
        <w:ind w:firstLine="709"/>
        <w:jc w:val="both"/>
        <w:tabs>
          <w:tab w:val="left" w:pos="1276" w:leader="none"/>
        </w:tabs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  </w:t>
      </w:r>
      <w:r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</w:t>
      </w:r>
      <w:r>
        <w:rPr>
          <w:rFonts w:ascii="Times New Roman" w:hAnsi="Times New Roman"/>
          <w:color w:val="000000"/>
          <w:sz w:val="24"/>
          <w:szCs w:val="24"/>
        </w:rPr>
        <w:t xml:space="preserve">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r>
        <w:rPr>
          <w:rFonts w:ascii="Times New Roman" w:hAnsi="Times New Roman"/>
          <w:color w:val="000000"/>
          <w:sz w:val="24"/>
          <w:szCs w:val="24"/>
        </w:rPr>
        <w:t xml:space="preserve">Профессионалитета</w:t>
      </w:r>
      <w:r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  <w:r/>
    </w:p>
    <w:p>
      <w:pPr>
        <w:contextualSpacing/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2.  </w:t>
      </w:r>
      <w:r>
        <w:rPr>
          <w:rFonts w:ascii="Times New Roman" w:hAnsi="Times New Roman"/>
          <w:color w:val="000000"/>
          <w:sz w:val="24"/>
          <w:szCs w:val="24"/>
        </w:rPr>
        <w:t xml:space="preserve">МК разрабатывается для каждой профессии/специальности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  <w:r/>
    </w:p>
    <w:p>
      <w:pPr>
        <w:contextualSpacing/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r>
        <w:rPr>
          <w:rFonts w:ascii="Times New Roman" w:hAnsi="Times New Roman"/>
          <w:sz w:val="24"/>
          <w:szCs w:val="24"/>
        </w:rPr>
        <w:t xml:space="preserve">надпрофессиональную</w:t>
      </w:r>
      <w:r>
        <w:rPr>
          <w:rFonts w:ascii="Times New Roman" w:hAnsi="Times New Roman"/>
          <w:sz w:val="24"/>
          <w:szCs w:val="24"/>
        </w:rPr>
        <w:t xml:space="preserve"> части.</w:t>
      </w:r>
      <w:r/>
    </w:p>
    <w:p>
      <w:pPr>
        <w:contextualSpacing/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  <w:r/>
    </w:p>
    <w:p>
      <w:pPr>
        <w:contextualSpacing/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5.  </w:t>
      </w:r>
      <w:r>
        <w:rPr>
          <w:rFonts w:ascii="Times New Roman" w:hAnsi="Times New Roman"/>
          <w:sz w:val="24"/>
          <w:szCs w:val="24"/>
        </w:rPr>
        <w:t xml:space="preserve">Надпрофессиональная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  <w:r/>
    </w:p>
    <w:p>
      <w:pPr>
        <w:contextualSpacing/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  Краткое описание и характеристика показателей сформированности корпоративных компетенций приведены в таблице 3.</w:t>
      </w:r>
      <w:r/>
    </w:p>
    <w:p>
      <w:pPr>
        <w:ind w:firstLine="709"/>
        <w:jc w:val="both"/>
        <w:widowControl w:val="o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>
        <w:rPr>
          <w:rFonts w:ascii="Times New Roman" w:hAnsi="Times New Roman"/>
          <w:color w:val="000000"/>
          <w:sz w:val="24"/>
          <w:szCs w:val="24"/>
        </w:rPr>
        <w:t xml:space="preserve">служащих, наиболее востребованных на региональном рынке труда в конкретном секторе экономики под запрос конкретных предприятий.</w:t>
      </w:r>
      <w:r/>
    </w:p>
    <w:p>
      <w:pPr>
        <w:jc w:val="both"/>
        <w:widowControl w:val="o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29400" cy="3562985"/>
                <wp:effectExtent l="0" t="0" r="0" b="18415"/>
                <wp:docPr id="1" name="Схема 2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0" cy="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4032105" y="2145121"/>
                            <a:ext cx="91440" cy="39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 h="399496" fill="norm" stroke="1" extrusionOk="0">
                                <a:moveTo>
                                  <a:pt x="45720" y="0"/>
                                </a:moveTo>
                                <a:lnTo>
                                  <a:pt x="45720" y="444826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4472C4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3238387" y="873373"/>
                            <a:ext cx="839438" cy="39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438" h="399496" fill="norm" stroke="1" extrusionOk="0">
                                <a:moveTo>
                                  <a:pt x="0" y="0"/>
                                </a:moveTo>
                                <a:lnTo>
                                  <a:pt x="0" y="303136"/>
                                </a:lnTo>
                                <a:lnTo>
                                  <a:pt x="934687" y="303136"/>
                                </a:lnTo>
                                <a:lnTo>
                                  <a:pt x="934687" y="444826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4472C4">
                                <a:shade val="60000"/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2353229" y="2145121"/>
                            <a:ext cx="91440" cy="39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 h="399496" fill="norm" stroke="1" extrusionOk="0">
                                <a:moveTo>
                                  <a:pt x="45720" y="0"/>
                                </a:moveTo>
                                <a:lnTo>
                                  <a:pt x="45720" y="444826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4472C4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2398949" y="873373"/>
                            <a:ext cx="839438" cy="39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438" h="399496" fill="norm" stroke="1" extrusionOk="0">
                                <a:moveTo>
                                  <a:pt x="934687" y="0"/>
                                </a:moveTo>
                                <a:lnTo>
                                  <a:pt x="934687" y="303136"/>
                                </a:lnTo>
                                <a:lnTo>
                                  <a:pt x="0" y="303136"/>
                                </a:lnTo>
                                <a:lnTo>
                                  <a:pt x="0" y="444826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4472C4">
                                <a:shade val="60000"/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2551574" y="1120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4472C4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hueOff val="0"/>
                                <a:satOff val="0"/>
                                <a:lumOff val="0"/>
                                <a:alphaOff val="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2704199" y="146114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ysClr val="window" lastClr="FFFFFF">
                              <a:hueOff val="0"/>
                              <a:satOff val="0"/>
                              <a:lumOff val="0"/>
                              <a:alphaOff val="0"/>
                              <a:alpha val="90000"/>
                            </a:sysClr>
                          </a:solidFill>
                          <a:ln w="12700" cap="flat" cmpd="sng" algn="ctr">
                            <a:solidFill>
                              <a:srgbClr val="4472C4"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ind w:left="0" w:firstLine="0"/>
                                <w:jc w:val="center"/>
                                <w:spacing w:before="0" w:after="0" w:line="216" w:lineRule="auto"/>
                              </w:pPr>
                              <w:r>
                                <w:rPr>
                                  <w:rFonts w:ascii="Calibri" w:hAnsi="Calibri" w:cs="+mn-cs" w:eastAsia="+mn-ea"/>
                                  <w:b/>
                                  <w:sz w:val="22"/>
                                  <w:lang w:val="ru-RU"/>
                                  <w14:textFill>
                                    <w14:solidFill>
                                      <w14:sysClr w14:val="windowText" w14:lastClr="000000">
                                        <w14:hueOff w14:val="0"/>
                                        <w14:satOff w14:val="0"/>
                                        <w14:lumOff w14:val="0"/>
                                        <w14:alphaOff w14:val="0"/>
                                      </w14:sysClr>
                                    </w14:solidFill>
                                  </w14:textFill>
                                </w:rPr>
                                <w:t xml:space="preserve">КОМПЕТЕНТНОСТНАЯ МОДЕЛЬ</w:t>
                              </w:r>
                              <w:r/>
                              <w:r/>
                            </w:p>
                          </w:txbxContent>
                        </wps:txbx>
                        <wps:bodyPr spcFirstLastPara="0" vert="horz" wrap="square" lIns="41910" tIns="41910" rIns="41910" bIns="41910" numCol="1" spcCol="1270" anchor="ctr" anchorCtr="0"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1712136" y="1272869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4472C4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hueOff val="0"/>
                                <a:satOff val="0"/>
                                <a:lumOff val="0"/>
                                <a:alphaOff val="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1864760" y="1417863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ysClr val="window" lastClr="FFFFFF">
                              <a:hueOff val="0"/>
                              <a:satOff val="0"/>
                              <a:lumOff val="0"/>
                              <a:alphaOff val="0"/>
                              <a:alpha val="90000"/>
                            </a:sysClr>
                          </a:solidFill>
                          <a:ln w="12700" cap="flat" cmpd="sng" algn="ctr">
                            <a:solidFill>
                              <a:srgbClr val="4472C4"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ind w:left="0" w:firstLine="0"/>
                                <w:jc w:val="center"/>
                                <w:spacing w:before="0" w:after="0" w:line="216" w:lineRule="auto"/>
                              </w:pPr>
                              <w:r>
                                <w:rPr>
                                  <w:rFonts w:ascii="Calibri" w:hAnsi="Calibri" w:cs="+mn-cs" w:eastAsia="+mn-ea"/>
                                  <w:b/>
                                  <w:sz w:val="21"/>
                                  <w:lang w:val="ru-RU"/>
                                  <w14:textFill>
                                    <w14:solidFill>
                                      <w14:sysClr w14:val="windowText" w14:lastClr="000000">
                                        <w14:hueOff w14:val="0"/>
                                        <w14:satOff w14:val="0"/>
                                        <w14:lumOff w14:val="0"/>
                                        <w14:alphaOff w14:val="0"/>
                                      </w14:sysClr>
                                    </w14:solidFill>
                                  </w14:textFill>
                                </w:rPr>
                                <w:t xml:space="preserve">Профессиональная часть</w:t>
                              </w:r>
                              <w:r/>
                              <w:r/>
                            </w:p>
                          </w:txbxContent>
                        </wps:txbx>
                        <wps:bodyPr spcFirstLastPara="0" vert="horz" wrap="square" lIns="41910" tIns="41910" rIns="41910" bIns="41910" numCol="1" spcCol="1270" anchor="ctr" anchorCtr="0"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1712136" y="2544618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4472C4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hueOff val="0"/>
                                <a:satOff val="0"/>
                                <a:lumOff val="0"/>
                                <a:alphaOff val="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1864760" y="2689611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ysClr val="window" lastClr="FFFFFF">
                              <a:hueOff val="0"/>
                              <a:satOff val="0"/>
                              <a:lumOff val="0"/>
                              <a:alphaOff val="0"/>
                              <a:alpha val="90000"/>
                            </a:sysClr>
                          </a:solidFill>
                          <a:ln w="12700" cap="flat" cmpd="sng" algn="ctr">
                            <a:solidFill>
                              <a:srgbClr val="4472C4"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ind w:left="0" w:firstLine="0"/>
                                <w:jc w:val="center"/>
                                <w:spacing w:before="0" w:after="0" w:line="216" w:lineRule="auto"/>
                              </w:pPr>
                              <w:r>
                                <w:rPr>
                                  <w:rFonts w:ascii="Calibri" w:hAnsi="Calibri" w:cs="+mn-cs" w:eastAsia="+mn-ea"/>
                                  <w:b/>
                                  <w:sz w:val="21"/>
                                  <w:lang w:val="ru-RU"/>
                                  <w14:textFill>
                                    <w14:solidFill>
                                      <w14:sysClr w14:val="windowText" w14:lastClr="000000">
                                        <w14:hueOff w14:val="0"/>
                                        <w14:satOff w14:val="0"/>
                                        <w14:lumOff w14:val="0"/>
                                        <w14:alphaOff w14:val="0"/>
                                      </w14:sysClr>
                                    </w14:solidFill>
                                  </w14:textFill>
                                </w:rPr>
                                <w:t xml:space="preserve">Профессиональные компетенции,  в том числе для цифровой экономики</w:t>
                              </w:r>
                              <w:r/>
                              <w:r/>
                            </w:p>
                          </w:txbxContent>
                        </wps:txbx>
                        <wps:bodyPr spcFirstLastPara="0" vert="horz" wrap="square" lIns="41910" tIns="41910" rIns="41910" bIns="41910" numCol="1" spcCol="1270" anchor="ctr" anchorCtr="0"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3391012" y="1272869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4472C4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hueOff val="0"/>
                                <a:satOff val="0"/>
                                <a:lumOff val="0"/>
                                <a:alphaOff val="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3543637" y="1417863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ysClr val="window" lastClr="FFFFFF">
                              <a:hueOff val="0"/>
                              <a:satOff val="0"/>
                              <a:lumOff val="0"/>
                              <a:alphaOff val="0"/>
                              <a:alpha val="90000"/>
                            </a:sysClr>
                          </a:solidFill>
                          <a:ln w="12700" cap="flat" cmpd="sng" algn="ctr">
                            <a:solidFill>
                              <a:srgbClr val="4472C4"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ind w:left="0" w:firstLine="0"/>
                                <w:jc w:val="center"/>
                                <w:spacing w:before="0" w:after="0" w:line="216" w:lineRule="auto"/>
                              </w:pPr>
                              <w:r>
                                <w:rPr>
                                  <w:rFonts w:ascii="Calibri" w:hAnsi="Calibri" w:cs="+mn-cs" w:eastAsia="+mn-ea"/>
                                  <w:b/>
                                  <w:sz w:val="21"/>
                                  <w:lang w:val="ru-RU"/>
                                  <w14:textFill>
                                    <w14:solidFill>
                                      <w14:sysClr w14:val="windowText" w14:lastClr="000000">
                                        <w14:hueOff w14:val="0"/>
                                        <w14:satOff w14:val="0"/>
                                        <w14:lumOff w14:val="0"/>
                                        <w14:alphaOff w14:val="0"/>
                                      </w14:sysClr>
                                    </w14:solidFill>
                                  </w14:textFill>
                                </w:rPr>
                                <w:t xml:space="preserve">Надпрофессиональная часть</w:t>
                              </w:r>
                              <w:r/>
                              <w:r/>
                            </w:p>
                          </w:txbxContent>
                        </wps:txbx>
                        <wps:bodyPr spcFirstLastPara="0" vert="horz" wrap="square" lIns="41910" tIns="41910" rIns="41910" bIns="41910" numCol="1" spcCol="1270" anchor="ctr" anchorCtr="0"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3391012" y="2544618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4472C4">
                              <a:hueOff val="0"/>
                              <a:satOff val="0"/>
                              <a:lumOff val="0"/>
                              <a:alphaOff val="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hueOff val="0"/>
                                <a:satOff val="0"/>
                                <a:lumOff val="0"/>
                                <a:alphaOff val="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3543637" y="2689611"/>
                            <a:ext cx="1373625" cy="872252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ysClr val="window" lastClr="FFFFFF">
                              <a:hueOff val="0"/>
                              <a:satOff val="0"/>
                              <a:lumOff val="0"/>
                              <a:alphaOff val="0"/>
                              <a:alpha val="90000"/>
                            </a:sysClr>
                          </a:solidFill>
                          <a:ln w="12700" cap="flat" cmpd="sng" algn="ctr">
                            <a:solidFill>
                              <a:srgbClr val="4472C4">
                                <a:hueOff val="0"/>
                                <a:satOff val="0"/>
                                <a:lumOff val="0"/>
                                <a:alphaOff val="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ind w:left="0" w:firstLine="0"/>
                                <w:jc w:val="center"/>
                                <w:spacing w:before="0" w:after="0" w:line="216" w:lineRule="auto"/>
                              </w:pPr>
                              <w:r>
                                <w:rPr>
                                  <w:rFonts w:ascii="Calibri" w:hAnsi="Calibri" w:cs="+mn-cs" w:eastAsia="+mn-ea"/>
                                  <w:b/>
                                  <w:sz w:val="21"/>
                                  <w:lang w:val="ru-RU"/>
                                  <w14:textFill>
                                    <w14:solidFill>
                                      <w14:sysClr w14:val="windowText" w14:lastClr="000000">
                                        <w14:hueOff w14:val="0"/>
                                        <w14:satOff w14:val="0"/>
                                        <w14:lumOff w14:val="0"/>
                                        <w14:alphaOff w14:val="0"/>
                                      </w14:sysClr>
                                    </w14:solidFill>
                                  </w14:textFill>
                                </w:rPr>
                                <w:t xml:space="preserve">Общие компетенции,</w:t>
                              </w:r>
                              <w:r/>
                              <w:r/>
                            </w:p>
                            <w:p>
                              <w:pPr>
                                <w:ind w:left="0" w:firstLine="0"/>
                                <w:jc w:val="center"/>
                                <w:spacing w:before="0" w:after="0" w:line="216" w:lineRule="auto"/>
                              </w:pPr>
                              <w:r>
                                <w:rPr>
                                  <w:rFonts w:ascii="Calibri" w:hAnsi="Calibri" w:cs="+mn-cs" w:eastAsia="+mn-ea"/>
                                  <w:b/>
                                  <w:sz w:val="21"/>
                                  <w:lang w:val="ru-RU"/>
                                  <w14:textFill>
                                    <w14:solidFill>
                                      <w14:sysClr w14:val="windowText" w14:lastClr="000000">
                                        <w14:hueOff w14:val="0"/>
                                        <w14:satOff w14:val="0"/>
                                        <w14:lumOff w14:val="0"/>
                                        <w14:alphaOff w14:val="0"/>
                                      </w14:sysClr>
                                    </w14:solidFill>
                                  </w14:textFill>
                                </w:rPr>
                                <w:t xml:space="preserve">Корпоративные компетенции</w:t>
                              </w:r>
                              <w:r/>
                              <w:r/>
                            </w:p>
                          </w:txbxContent>
                        </wps:txbx>
                        <wps:bodyPr spcFirstLastPara="0" vert="horz" wrap="square" lIns="41910" tIns="41910" rIns="41910" bIns="41910" numCol="1" spcCol="127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mso-wrap-distance-left:0.0pt;mso-wrap-distance-top:0.0pt;mso-wrap-distance-right:0.0pt;mso-wrap-distance-bottom:0.0pt;width:522.0pt;height:280.6pt;" coordorigin="0,0" coordsize="0,0">
                <v:shape id="shape 1" o:spid="_x0000_s1" style="position:absolute;left:40321;top:21451;width:914;height:3994;" coordsize="100000,100000" path="m49990,0l49990,111345e" filled="f" strokecolor="#335E98" strokeweight="1.00pt">
                  <v:path textboxrect="0,0,0,0"/>
                </v:shape>
                <v:shape id="shape 2" o:spid="_x0000_s2" style="position:absolute;left:32383;top:8733;width:8394;height:3994;" coordsize="100000,100000" path="m0,0l0,75878l111345,75878l111345,111346e" filled="f" strokecolor="#254371" strokeweight="1.00pt">
                  <v:path textboxrect="0,0,0,0"/>
                </v:shape>
                <v:shape id="shape 3" o:spid="_x0000_s3" style="position:absolute;left:23532;top:21451;width:914;height:3994;" coordsize="100000,100000" path="m49990,0l49990,111345e" filled="f" strokecolor="#335E98" strokeweight="1.00pt">
                  <v:path textboxrect="0,0,0,0"/>
                </v:shape>
                <v:shape id="shape 4" o:spid="_x0000_s4" style="position:absolute;left:23989;top:8733;width:8394;height:3994;" coordsize="100000,100000" path="m111345,0l111345,75878l0,75878l0,111346e" filled="f" strokecolor="#254371" strokeweight="1.00pt">
                  <v:path textboxrect="0,0,0,0"/>
                </v:shape>
                <v:shape id="shape 5" o:spid="_x0000_s5" o:spt="2" style="position:absolute;left:25515;top:11;width:13736;height:8722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4171C1" strokecolor="#FFFFFF" strokeweight="1.00pt">
                  <v:path textboxrect="1858,2927,98138,97069"/>
                </v:shape>
                <v:shape id="shape 6" o:spid="_x0000_s6" o:spt="2" style="position:absolute;left:27041;top:1461;width:13736;height:8722;v-text-anchor:middle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FFFFFF" strokecolor="#4171C1" strokeweight="1.00pt">
                  <v:path textboxrect="1858,2927,98138,97069"/>
                  <v:fill opacity="-58753f"/>
                  <v:textbox>
                    <w:txbxContent>
                      <w:p>
                        <w:pPr>
                          <w:ind w:left="0" w:firstLine="0"/>
                          <w:jc w:val="center"/>
                          <w:spacing w:before="0" w:after="0" w:line="216" w:lineRule="auto"/>
                        </w:pPr>
                        <w:r>
                          <w:rPr>
                            <w:rFonts w:ascii="Calibri" w:hAnsi="Calibri" w:cs="+mn-cs" w:eastAsia="+mn-ea"/>
                            <w:b/>
                            <w:sz w:val="22"/>
                            <w:lang w:val="ru-RU"/>
                            <w14:textFill>
                              <w14:solidFill>
                                <w14:sysClr w14:val="windowText" w14:lastClr="000000">
                                  <w14:hueOff w14:val="0"/>
                                  <w14:satOff w14:val="0"/>
                                  <w14:lumOff w14:val="0"/>
                                  <w14:alphaOff w14:val="0"/>
                                </w14:sysClr>
                              </w14:solidFill>
                            </w14:textFill>
                          </w:rPr>
                          <w:t xml:space="preserve">КОМПЕТЕНТНОСТНАЯ МОДЕЛЬ</w:t>
                        </w:r>
                        <w:r/>
                        <w:r/>
                      </w:p>
                    </w:txbxContent>
                  </v:textbox>
                </v:shape>
                <v:shape id="shape 7" o:spid="_x0000_s7" o:spt="2" style="position:absolute;left:17121;top:12728;width:13736;height:8722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4171C1" strokecolor="#FFFFFF" strokeweight="1.00pt">
                  <v:path textboxrect="1858,2927,98138,97069"/>
                </v:shape>
                <v:shape id="shape 8" o:spid="_x0000_s8" o:spt="2" style="position:absolute;left:18647;top:14178;width:13736;height:8722;v-text-anchor:middle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FFFFFF" strokecolor="#4171C1" strokeweight="1.00pt">
                  <v:path textboxrect="1858,2927,98138,97069"/>
                  <v:fill opacity="-58753f"/>
                  <v:textbox>
                    <w:txbxContent>
                      <w:p>
                        <w:pPr>
                          <w:ind w:left="0" w:firstLine="0"/>
                          <w:jc w:val="center"/>
                          <w:spacing w:before="0" w:after="0" w:line="216" w:lineRule="auto"/>
                        </w:pPr>
                        <w:r>
                          <w:rPr>
                            <w:rFonts w:ascii="Calibri" w:hAnsi="Calibri" w:cs="+mn-cs" w:eastAsia="+mn-ea"/>
                            <w:b/>
                            <w:sz w:val="21"/>
                            <w:lang w:val="ru-RU"/>
                            <w14:textFill>
                              <w14:solidFill>
                                <w14:sysClr w14:val="windowText" w14:lastClr="000000">
                                  <w14:hueOff w14:val="0"/>
                                  <w14:satOff w14:val="0"/>
                                  <w14:lumOff w14:val="0"/>
                                  <w14:alphaOff w14:val="0"/>
                                </w14:sysClr>
                              </w14:solidFill>
                            </w14:textFill>
                          </w:rPr>
                          <w:t xml:space="preserve">Профессиональная часть</w:t>
                        </w:r>
                        <w:r/>
                        <w:r/>
                      </w:p>
                    </w:txbxContent>
                  </v:textbox>
                </v:shape>
                <v:shape id="shape 9" o:spid="_x0000_s9" o:spt="2" style="position:absolute;left:17121;top:25446;width:13736;height:8722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4171C1" strokecolor="#FFFFFF" strokeweight="1.00pt">
                  <v:path textboxrect="1858,2927,98138,97069"/>
                </v:shape>
                <v:shape id="shape 10" o:spid="_x0000_s10" o:spt="2" style="position:absolute;left:18647;top:26896;width:13736;height:8722;v-text-anchor:middle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FFFFFF" strokecolor="#4171C1" strokeweight="1.00pt">
                  <v:path textboxrect="1858,2927,98138,97069"/>
                  <v:fill opacity="-58753f"/>
                  <v:textbox>
                    <w:txbxContent>
                      <w:p>
                        <w:pPr>
                          <w:ind w:left="0" w:firstLine="0"/>
                          <w:jc w:val="center"/>
                          <w:spacing w:before="0" w:after="0" w:line="216" w:lineRule="auto"/>
                        </w:pPr>
                        <w:r>
                          <w:rPr>
                            <w:rFonts w:ascii="Calibri" w:hAnsi="Calibri" w:cs="+mn-cs" w:eastAsia="+mn-ea"/>
                            <w:b/>
                            <w:sz w:val="21"/>
                            <w:lang w:val="ru-RU"/>
                            <w14:textFill>
                              <w14:solidFill>
                                <w14:sysClr w14:val="windowText" w14:lastClr="000000">
                                  <w14:hueOff w14:val="0"/>
                                  <w14:satOff w14:val="0"/>
                                  <w14:lumOff w14:val="0"/>
                                  <w14:alphaOff w14:val="0"/>
                                </w14:sysClr>
                              </w14:solidFill>
                            </w14:textFill>
                          </w:rPr>
                          <w:t xml:space="preserve">Профессиональные компетенции,  в том числе для цифровой экономики</w:t>
                        </w:r>
                        <w:r/>
                        <w:r/>
                      </w:p>
                    </w:txbxContent>
                  </v:textbox>
                </v:shape>
                <v:shape id="shape 11" o:spid="_x0000_s11" o:spt="2" style="position:absolute;left:33910;top:12728;width:13736;height:8722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4171C1" strokecolor="#FFFFFF" strokeweight="1.00pt">
                  <v:path textboxrect="1858,2927,98138,97069"/>
                </v:shape>
                <v:shape id="shape 12" o:spid="_x0000_s12" o:spt="2" style="position:absolute;left:35436;top:14178;width:13736;height:8722;v-text-anchor:middle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FFFFFF" strokecolor="#4171C1" strokeweight="1.00pt">
                  <v:path textboxrect="1858,2927,98138,97069"/>
                  <v:fill opacity="-58753f"/>
                  <v:textbox>
                    <w:txbxContent>
                      <w:p>
                        <w:pPr>
                          <w:ind w:left="0" w:firstLine="0"/>
                          <w:jc w:val="center"/>
                          <w:spacing w:before="0" w:after="0" w:line="216" w:lineRule="auto"/>
                        </w:pPr>
                        <w:r>
                          <w:rPr>
                            <w:rFonts w:ascii="Calibri" w:hAnsi="Calibri" w:cs="+mn-cs" w:eastAsia="+mn-ea"/>
                            <w:b/>
                            <w:sz w:val="21"/>
                            <w:lang w:val="ru-RU"/>
                            <w14:textFill>
                              <w14:solidFill>
                                <w14:sysClr w14:val="windowText" w14:lastClr="000000">
                                  <w14:hueOff w14:val="0"/>
                                  <w14:satOff w14:val="0"/>
                                  <w14:lumOff w14:val="0"/>
                                  <w14:alphaOff w14:val="0"/>
                                </w14:sysClr>
                              </w14:solidFill>
                            </w14:textFill>
                          </w:rPr>
                          <w:t xml:space="preserve">Надпрофессиональная часть</w:t>
                        </w:r>
                        <w:r/>
                        <w:r/>
                      </w:p>
                    </w:txbxContent>
                  </v:textbox>
                </v:shape>
                <v:shape id="shape 13" o:spid="_x0000_s13" o:spt="2" style="position:absolute;left:33910;top:25446;width:13736;height:8722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4171C1" strokecolor="#FFFFFF" strokeweight="1.00pt">
                  <v:path textboxrect="1858,2927,98138,97069"/>
                </v:shape>
                <v:shape id="shape 14" o:spid="_x0000_s14" o:spt="2" style="position:absolute;left:35436;top:26896;width:13736;height:8722;v-text-anchor:middle;" coordsize="100000,100000" path="m0,9999l0,9999c0,4514,2866,0,6350,0c6350,0,6350,0,6350,0l93648,0l93648,0c97131,0,99998,4514,99998,9999l99998,9999c99998,9999,99998,9999,99998,9999l100000,89997l100000,89997c100000,89997,100000,89997,100000,89997l100000,89997c100000,95483,97134,99996,93650,99996c93650,99996,93650,99996,93650,99996l6350,100000l6350,100000c2866,100000,0,95486,0,90001c0,90001,0,90001,0,90001xe" fillcolor="#FFFFFF" strokecolor="#4171C1" strokeweight="1.00pt">
                  <v:path textboxrect="1858,2927,98138,97069"/>
                  <v:fill opacity="-58753f"/>
                  <v:textbox>
                    <w:txbxContent>
                      <w:p>
                        <w:pPr>
                          <w:ind w:left="0" w:firstLine="0"/>
                          <w:jc w:val="center"/>
                          <w:spacing w:before="0" w:after="0" w:line="216" w:lineRule="auto"/>
                        </w:pPr>
                        <w:r>
                          <w:rPr>
                            <w:rFonts w:ascii="Calibri" w:hAnsi="Calibri" w:cs="+mn-cs" w:eastAsia="+mn-ea"/>
                            <w:b/>
                            <w:sz w:val="21"/>
                            <w:lang w:val="ru-RU"/>
                            <w14:textFill>
                              <w14:solidFill>
                                <w14:sysClr w14:val="windowText" w14:lastClr="000000">
                                  <w14:hueOff w14:val="0"/>
                                  <w14:satOff w14:val="0"/>
                                  <w14:lumOff w14:val="0"/>
                                  <w14:alphaOff w14:val="0"/>
                                </w14:sysClr>
                              </w14:solidFill>
                            </w14:textFill>
                          </w:rPr>
                          <w:t xml:space="preserve">Общие компетенции,</w:t>
                        </w:r>
                        <w:r/>
                        <w:r/>
                      </w:p>
                      <w:p>
                        <w:pPr>
                          <w:ind w:left="0" w:firstLine="0"/>
                          <w:jc w:val="center"/>
                          <w:spacing w:before="0" w:after="0" w:line="216" w:lineRule="auto"/>
                        </w:pPr>
                        <w:r>
                          <w:rPr>
                            <w:rFonts w:ascii="Calibri" w:hAnsi="Calibri" w:cs="+mn-cs" w:eastAsia="+mn-ea"/>
                            <w:b/>
                            <w:sz w:val="21"/>
                            <w:lang w:val="ru-RU"/>
                            <w14:textFill>
                              <w14:solidFill>
                                <w14:sysClr w14:val="windowText" w14:lastClr="000000">
                                  <w14:hueOff w14:val="0"/>
                                  <w14:satOff w14:val="0"/>
                                  <w14:lumOff w14:val="0"/>
                                  <w14:alphaOff w14:val="0"/>
                                </w14:sysClr>
                              </w14:solidFill>
                            </w14:textFill>
                          </w:rPr>
                          <w:t xml:space="preserve">Корпоративные компетенции</w:t>
                        </w: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bookmarkEnd w:id="1"/>
      <w:r/>
      <w:r/>
    </w:p>
    <w:p>
      <w:pPr>
        <w:rPr>
          <w:rFonts w:ascii="Times New Roman" w:hAnsi="Times New Roman"/>
          <w:b/>
          <w:iCs/>
          <w:sz w:val="24"/>
          <w:szCs w:val="24"/>
        </w:rPr>
        <w:sectPr>
          <w:footerReference w:type="default" r:id="rId9"/>
          <w:footerReference w:type="even" r:id="rId10"/>
          <w:footnotePr/>
          <w:endnotePr/>
          <w:type w:val="nextPage"/>
          <w:pgSz w:w="11907" w:h="16840" w:orient="portrait"/>
          <w:pgMar w:top="1134" w:right="851" w:bottom="992" w:left="1418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/>
          <w:b/>
          <w:iCs/>
          <w:sz w:val="24"/>
          <w:szCs w:val="24"/>
        </w:rPr>
      </w:r>
      <w:r/>
    </w:p>
    <w:p>
      <w:pPr>
        <w:jc w:val="center"/>
        <w:spacing w:after="0" w:line="240" w:lineRule="auto"/>
        <w:tabs>
          <w:tab w:val="left" w:pos="204" w:leader="none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1 – </w:t>
      </w:r>
      <w:r>
        <w:rPr>
          <w:rFonts w:ascii="Times New Roman" w:hAnsi="Times New Roman"/>
          <w:b/>
          <w:bCs/>
        </w:rPr>
        <w:t xml:space="preserve">Модель компетенций выпускника (</w:t>
      </w:r>
      <w:r>
        <w:rPr>
          <w:rFonts w:ascii="Times New Roman" w:hAnsi="Times New Roman"/>
          <w:b/>
          <w:bCs/>
        </w:rPr>
        <w:t xml:space="preserve">профессиональная</w:t>
      </w:r>
      <w:r>
        <w:rPr>
          <w:rFonts w:ascii="Times New Roman" w:hAnsi="Times New Roman"/>
          <w:b/>
          <w:bCs/>
        </w:rPr>
        <w:t xml:space="preserve"> часть)</w:t>
      </w:r>
      <w:r/>
    </w:p>
    <w:p>
      <w:pPr>
        <w:jc w:val="center"/>
        <w:spacing w:after="0" w:line="240" w:lineRule="auto"/>
        <w:tabs>
          <w:tab w:val="left" w:pos="204" w:leader="none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tbl>
      <w:tblPr>
        <w:tblStyle w:val="898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559"/>
        <w:gridCol w:w="1559"/>
        <w:gridCol w:w="1635"/>
        <w:gridCol w:w="1484"/>
        <w:gridCol w:w="1417"/>
        <w:gridCol w:w="1622"/>
        <w:gridCol w:w="1684"/>
        <w:gridCol w:w="1514"/>
        <w:gridCol w:w="1701"/>
      </w:tblGrid>
      <w:tr>
        <w:trPr>
          <w:trHeight w:val="57"/>
        </w:trPr>
        <w:tc>
          <w:tcPr>
            <w:gridSpan w:val="2"/>
            <w:shd w:val="clear" w:color="auto" w:fill="c2d69b" w:themeFill="accent3" w:themeFillTint="99"/>
            <w:tcW w:w="297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ПС 1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«Работник по ремонту и текущему содержанию железнодорожного пути», Код 17.011, утв. приказом Министерства труда и социальной защиты Российской Федерации от 09.10.2018 № 623н</w:t>
            </w:r>
            <w:r/>
          </w:p>
        </w:tc>
        <w:tc>
          <w:tcPr>
            <w:gridSpan w:val="2"/>
            <w:shd w:val="clear" w:color="auto" w:fill="fde9d9" w:themeFill="accent6" w:themeFillTint="33"/>
            <w:tcW w:w="319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ПС 2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ограждению мест производства работ и закреплению подвижного состава на железнодорожном транспорте», Код 17.045, утв. приказом Министерства труда и социальной защиты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Российской Федерации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 17 марта 2022 г. N 136н</w:t>
            </w:r>
            <w:r/>
          </w:p>
        </w:tc>
        <w:tc>
          <w:tcPr>
            <w:gridSpan w:val="2"/>
            <w:shd w:val="clear" w:color="auto" w:fill="e5b8b7" w:themeFill="accent2" w:themeFillTint="66"/>
            <w:tcW w:w="2901" w:type="dxa"/>
            <w:vMerge w:val="restart"/>
            <w:textDirection w:val="lrTb"/>
            <w:noWrap w:val="false"/>
          </w:tcPr>
          <w:p>
            <w:pPr>
              <w:pStyle w:val="9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ПС 3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управлению и обслуживанию специального железнодорожного подвижного состава (самоходного), Код 17.009, утв.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приказом Министерства труда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социальной защиты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Российской Федерации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от 22 сентября 2020 г. N 634н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ПС 4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управлению и обслуживанию железнодорожно-строительной машины (несамоходной), Код 17.005, утв.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приказом Министерства труда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социальной защиты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Российской Федерации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 21 сентября 2020 г. N 624н</w:t>
            </w:r>
            <w:r/>
          </w:p>
        </w:tc>
        <w:tc>
          <w:tcPr>
            <w:gridSpan w:val="4"/>
            <w:shd w:val="clear" w:color="auto" w:fill="c6d9f1" w:themeFill="text2" w:themeFillTint="33"/>
            <w:tcW w:w="65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ФГОС СПО</w:t>
            </w:r>
            <w:r/>
          </w:p>
        </w:tc>
      </w:tr>
      <w:tr>
        <w:trPr>
          <w:trHeight w:val="57"/>
        </w:trPr>
        <w:tc>
          <w:tcPr>
            <w:gridSpan w:val="2"/>
            <w:shd w:val="clear" w:color="auto" w:fill="c2d69b" w:themeFill="accent3" w:themeFillTint="99"/>
            <w:tcW w:w="297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fde9d9" w:themeFill="accent6" w:themeFillTint="33"/>
            <w:tcW w:w="31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e5b8b7" w:themeFill="accent2" w:themeFillTint="66"/>
            <w:tcW w:w="290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Style w:val="810"/>
                <w:rFonts w:ascii="Times New Roman" w:hAnsi="Times New Roman"/>
                <w:b/>
                <w:i w:val="0"/>
                <w:iCs/>
                <w:sz w:val="18"/>
                <w:szCs w:val="18"/>
              </w:rPr>
            </w:pPr>
            <w:r>
              <w:rPr>
                <w:rStyle w:val="810"/>
                <w:rFonts w:ascii="Times New Roman" w:hAnsi="Times New Roman"/>
                <w:b/>
                <w:i w:val="0"/>
                <w:iCs/>
                <w:sz w:val="18"/>
                <w:szCs w:val="18"/>
              </w:rPr>
              <w:t xml:space="preserve">ВД 1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Проведение геодезических работ при изысканиях по реконструкции, проектированию, строительству и эксплуатации железных дорог</w:t>
            </w:r>
            <w:r/>
          </w:p>
        </w:tc>
        <w:tc>
          <w:tcPr>
            <w:shd w:val="clear" w:color="auto" w:fill="c6d9f1" w:themeFill="text2" w:themeFillTint="33"/>
            <w:tcW w:w="1684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ВД 2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Строительство железных дорог, ремонт и текущее содержание железнодорожного пути</w:t>
            </w:r>
            <w:r/>
          </w:p>
        </w:tc>
        <w:tc>
          <w:tcPr>
            <w:shd w:val="clear" w:color="auto" w:fill="c6d9f1" w:themeFill="text2" w:themeFillTint="33"/>
            <w:tcW w:w="1514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ВД 3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Устройство, надзор и техническое состояние железнодорожного пути и искусственных сооружений</w:t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ВД 4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Участие в организации деятельности структурного подразделения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c2d69b" w:themeFill="accent3" w:themeFillTint="99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fde9d9" w:themeFill="accent6" w:themeFillTint="33"/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e5b8b7" w:themeFill="accent2" w:themeFillTint="66"/>
            <w:tcW w:w="14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color="auto" w:fill="e5b8b7" w:themeFill="accent2" w:themeFillTint="66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color="auto" w:fill="c6d9f1" w:themeFill="text2" w:themeFillTint="33"/>
            <w:tcW w:w="162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7</w:t>
            </w:r>
            <w:r/>
          </w:p>
        </w:tc>
        <w:tc>
          <w:tcPr>
            <w:shd w:val="clear" w:color="auto" w:fill="c6d9f1" w:themeFill="text2" w:themeFillTint="33"/>
            <w:tcW w:w="16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8</w:t>
            </w:r>
            <w:r/>
          </w:p>
        </w:tc>
        <w:tc>
          <w:tcPr>
            <w:shd w:val="clear" w:color="auto" w:fill="c6d9f1" w:themeFill="text2" w:themeFillTint="33"/>
            <w:tcW w:w="151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9</w:t>
            </w:r>
            <w:r/>
          </w:p>
        </w:tc>
        <w:tc>
          <w:tcPr>
            <w:shd w:val="clear" w:color="auto" w:fill="c6d9f1" w:themeFill="text2" w:themeFillTint="33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10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5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3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1.1.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Выполнять различные виды геодезических съемок</w:t>
            </w:r>
            <w:r/>
          </w:p>
        </w:tc>
        <w:tc>
          <w:tcPr>
            <w:shd w:val="clear" w:color="auto" w:fill="c6d9f1" w:themeFill="text2" w:themeFillTint="33"/>
            <w:tcW w:w="16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514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3.2.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Обеспечивать требования к искусственным сооружениям на железнодорожном транспорте</w:t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4.1.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Планировать работу структурного подразделения при технической эксплуатации, обслуживании и ремонте пути, искусственных сооружений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35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1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1.2.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Обрабатывать материалы геодезических съемок</w:t>
            </w:r>
            <w:r/>
          </w:p>
        </w:tc>
        <w:tc>
          <w:tcPr>
            <w:shd w:val="clear" w:color="auto" w:fill="c6d9f1" w:themeFill="text2" w:themeFillTint="33"/>
            <w:tcW w:w="16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51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3.3.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Проводить контроль состояния рельсов, элементов пути и сооружений с использованием диагностического оборудования</w:t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4.2.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Осуществлять руководство выполняемыми работами, вести отчетную и техническую документацию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35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1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1.3.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Производить разбивку на местности элементов железнодорожного пути 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искусственных сооружений для строительства железных дорог</w:t>
            </w:r>
            <w:r/>
          </w:p>
        </w:tc>
        <w:tc>
          <w:tcPr>
            <w:shd w:val="clear" w:color="auto" w:fill="c6d9f1" w:themeFill="text2" w:themeFillTint="33"/>
            <w:tcW w:w="16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51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4.3.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Проводить контроль качества выполняемых работ при технической эксплуата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ции, обслуживании, ремонте, строительстве пути и искусственных сооружений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А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простейших работ по ремонту и текущему содержанию железнодорожного пути</w:t>
            </w:r>
            <w:r/>
          </w:p>
        </w:tc>
        <w:tc>
          <w:tcPr>
            <w:shd w:val="clear" w:color="auto" w:fill="c2d69b" w:themeFill="accent3" w:themeFillTint="99"/>
            <w:tcW w:w="1559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простейших работ по монтажу, демонтажу и ремонту конструкций верхнего строения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А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ограждению съемных подвижных единиц, мест производства работ на железнодорожном пути</w:t>
            </w:r>
            <w:r/>
          </w:p>
        </w:tc>
        <w:tc>
          <w:tcPr>
            <w:shd w:val="clear" w:color="auto" w:fill="fde9d9" w:themeFill="accent6" w:themeFillTint="33"/>
            <w:tcW w:w="1635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ограждению съемных подвижных единиц на железнодорожном пути</w:t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(ПС 3)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специальным железнодорожным подвижным составом (самоходным), его техническое обслуживание и ремонт</w:t>
            </w:r>
            <w:r/>
          </w:p>
        </w:tc>
        <w:tc>
          <w:tcPr>
            <w:shd w:val="clear" w:color="auto" w:fill="e5b8b7" w:themeFill="accent2" w:themeFillTint="66"/>
            <w:tcW w:w="1417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специальным железнодорожным подвижным составом (самоходным)</w:t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8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2.1.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Участвовать в проектировании и строительстве железных дорог, зданий и сооружений</w:t>
            </w:r>
            <w:r/>
          </w:p>
        </w:tc>
        <w:tc>
          <w:tcPr>
            <w:shd w:val="clear" w:color="auto" w:fill="c2d69b" w:themeFill="accent3" w:themeFillTint="99"/>
            <w:tcW w:w="151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3.1.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Обеспечивать выполнение требований к основным элементам и конструкции земляного полотна, переездов, путевых и сигнальных знаков, верхнего строения пути</w:t>
            </w:r>
            <w:r/>
          </w:p>
        </w:tc>
        <w:tc>
          <w:tcPr>
            <w:shd w:val="clear" w:color="auto" w:fill="fde9d9" w:themeFill="accent6" w:themeFillTint="33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/>
          </w:p>
          <w:p>
            <w:pPr>
              <w:pStyle w:val="813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ПК 4.4.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Обеспечивать соблюдение техники безопасности и охраны труда на производственном участке, проводить профилактические мероприятия и обучение персонала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559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простейших работ по текущему содержанию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35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ограждению мест производства работ на железнодорожном пути</w:t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17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техническому обслуживанию и ремонту специального железнодорожного подвижного состава (самоходного)</w:t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68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2.2.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Производить ремонт и строительство железнодорожного пути с использованием средств механизации</w:t>
            </w:r>
            <w:r/>
          </w:p>
        </w:tc>
        <w:tc>
          <w:tcPr>
            <w:shd w:val="clear" w:color="auto" w:fill="c6d9f1" w:themeFill="text2" w:themeFillTint="33"/>
            <w:tcW w:w="1514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4.5.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Организовывать взаимодействие между структурными подразделениями организации</w:t>
            </w:r>
            <w:r/>
          </w:p>
        </w:tc>
      </w:tr>
      <w:tr>
        <w:trPr>
          <w:trHeight w:val="20"/>
        </w:trPr>
        <w:tc>
          <w:tcPr>
            <w:shd w:val="clear" w:color="auto" w:fill="c2d69b" w:themeFill="accent3" w:themeFillTint="99"/>
            <w:tcW w:w="141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В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простых работ по ремонту и текущему содержанию железнодорожного пути</w:t>
            </w:r>
            <w:r/>
          </w:p>
        </w:tc>
        <w:tc>
          <w:tcPr>
            <w:shd w:val="clear" w:color="auto" w:fill="c2d69b" w:themeFill="accent3" w:themeFillTint="99"/>
            <w:tcW w:w="1559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простых работ по монтажу, демонтажу и ремонту конструкций верхнего строения железнодорожного пути в соответствии с технологией выполняемых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В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закреплению подвижного состава и проверке правильности приготовления маршрута движения поездов на путях общего пользования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железнодорожной станции</w:t>
            </w:r>
            <w:r/>
          </w:p>
        </w:tc>
        <w:tc>
          <w:tcPr>
            <w:shd w:val="clear" w:color="auto" w:fill="fde9d9" w:themeFill="accent6" w:themeFillTint="33"/>
            <w:tcW w:w="1635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закреплению подвижного состава на путях общего пользования железнодорожной станции</w:t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А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(ПС 4)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железнодорожно-строительной машиной (несамоходной), ее техническое обслуживание и ремонт</w:t>
            </w:r>
            <w:r/>
          </w:p>
        </w:tc>
        <w:tc>
          <w:tcPr>
            <w:shd w:val="clear" w:color="auto" w:fill="e5b8b7" w:themeFill="accent2" w:themeFillTint="66"/>
            <w:tcW w:w="1417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железнодорожно-строительной машиной (несамоходной)</w:t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68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2.3.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Контролировать качество текущего содержания пути, ремонтных и строительных работ, организовывать их приемку</w:t>
            </w:r>
            <w:r/>
          </w:p>
        </w:tc>
        <w:tc>
          <w:tcPr>
            <w:shd w:val="clear" w:color="auto" w:fill="c6d9f1" w:themeFill="text2" w:themeFillTint="33"/>
            <w:tcW w:w="1514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5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простых работ по текущему содержанию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35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сигнализации, централизации и блокировки</w:t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1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техническому обслуживанию и ремонту железнодорожно-строительной машиной (несамоходной)</w:t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684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2.4.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Разрабатывать технологические процессы производства ремонтных работ железнодорожного пути и сооружений</w:t>
            </w:r>
            <w:r/>
          </w:p>
        </w:tc>
        <w:tc>
          <w:tcPr>
            <w:shd w:val="clear" w:color="auto" w:fill="c6d9f1" w:themeFill="text2" w:themeFillTint="33"/>
            <w:tcW w:w="1514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635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41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62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684" w:type="dxa"/>
            <w:textDirection w:val="lrTb"/>
            <w:noWrap w:val="false"/>
          </w:tcPr>
          <w:p>
            <w:pPr>
              <w:pStyle w:val="8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ТФ А/01.2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/>
          </w:p>
          <w:p>
            <w:pPr>
              <w:pStyle w:val="8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ТФ А/02.2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2.5.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Обеспечивать соблюдение при строительстве, эксплуатации железных дорог требований охраны окружающей среды и промышленной безопасности, проводить обучение персонала на производственном участке</w:t>
            </w:r>
            <w:r/>
          </w:p>
        </w:tc>
        <w:tc>
          <w:tcPr>
            <w:shd w:val="clear" w:color="auto" w:fill="c6d9f1" w:themeFill="text2" w:themeFillTint="33"/>
            <w:tcW w:w="1514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6d9f1" w:themeFill="text2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</w:tr>
    </w:tbl>
    <w:p>
      <w:pPr>
        <w:spacing w:after="0" w:line="240" w:lineRule="auto"/>
        <w:tabs>
          <w:tab w:val="left" w:pos="204" w:leader="none"/>
        </w:tabs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</w:r>
      <w:r/>
    </w:p>
    <w:p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br w:type="page"/>
      </w:r>
      <w:r/>
    </w:p>
    <w:p>
      <w:pPr>
        <w:ind w:firstLine="709"/>
        <w:jc w:val="right"/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Продолжение Таблицы 1</w:t>
      </w:r>
      <w:r/>
    </w:p>
    <w:tbl>
      <w:tblPr>
        <w:tblStyle w:val="898"/>
        <w:tblW w:w="153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842"/>
        <w:gridCol w:w="1559"/>
        <w:gridCol w:w="1701"/>
        <w:gridCol w:w="1625"/>
        <w:gridCol w:w="1701"/>
        <w:gridCol w:w="1843"/>
        <w:gridCol w:w="1843"/>
        <w:gridCol w:w="1800"/>
      </w:tblGrid>
      <w:tr>
        <w:trPr>
          <w:trHeight w:val="57"/>
        </w:trPr>
        <w:tc>
          <w:tcPr>
            <w:gridSpan w:val="2"/>
            <w:shd w:val="clear" w:color="auto" w:fill="c2d69b" w:themeFill="accent3" w:themeFillTint="99"/>
            <w:tcW w:w="326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ПС 1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«Работник по ремонту и текущему содержанию железнодорожного пути», Код 17.011, утв. приказом Министерства труда и социальной защиты Российской Федерации от 09.10.2018 № 623н</w:t>
            </w:r>
            <w:r/>
          </w:p>
        </w:tc>
        <w:tc>
          <w:tcPr>
            <w:gridSpan w:val="2"/>
            <w:shd w:val="clear" w:color="auto" w:fill="fde9d9" w:themeFill="accent6" w:themeFillTint="33"/>
            <w:tcW w:w="32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ПС 2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ограждению мест производства работ и закреплению подвижного состава на железнодорожном транспорте», Код 17.045, утв. приказом Министерства труда и социальной защиты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Российской Федерации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 17 марта 2022 г. N 136н</w:t>
            </w:r>
            <w:r/>
          </w:p>
        </w:tc>
        <w:tc>
          <w:tcPr>
            <w:gridSpan w:val="2"/>
            <w:shd w:val="clear" w:color="auto" w:fill="e5b8b7" w:themeFill="accent2" w:themeFillTint="66"/>
            <w:tcW w:w="3326" w:type="dxa"/>
            <w:vMerge w:val="restart"/>
            <w:textDirection w:val="lrTb"/>
            <w:noWrap w:val="false"/>
          </w:tcPr>
          <w:p>
            <w:pPr>
              <w:pStyle w:val="9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ПС 3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управлению и обслуживанию специального железнодорожного подвижного состава (самоходного), Код 17.009, утв.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приказом Министерства труда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социальной защиты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Российской Федерации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от 22 сентября 2020 г. N 634н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ПС 4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Профессиональный стандарт</w:t>
            </w:r>
            <w:r/>
          </w:p>
          <w:p>
            <w:pPr>
              <w:pStyle w:val="919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управлению и обслуживанию железнодорожно-строительной машины (несамоходной), Код 17.005, утв.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приказом Министерства труда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социальной защиты</w:t>
            </w:r>
            <w:r/>
          </w:p>
          <w:p>
            <w:pPr>
              <w:pStyle w:val="8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Российской Федерации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 21 сентября 2020 г. N 624н</w:t>
            </w:r>
            <w:r/>
          </w:p>
        </w:tc>
        <w:tc>
          <w:tcPr>
            <w:gridSpan w:val="3"/>
            <w:shd w:val="clear" w:color="auto" w:fill="ffffcc"/>
            <w:tcW w:w="54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Дополнительный профессиональный блок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(определен работодателем)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ариативная часть</w:t>
            </w:r>
            <w:r/>
          </w:p>
        </w:tc>
      </w:tr>
      <w:tr>
        <w:trPr>
          <w:trHeight w:val="57"/>
        </w:trPr>
        <w:tc>
          <w:tcPr>
            <w:gridSpan w:val="2"/>
            <w:shd w:val="clear" w:color="auto" w:fill="c2d69b" w:themeFill="accent3" w:themeFillTint="99"/>
            <w:tcW w:w="326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fde9d9" w:themeFill="accent6" w:themeFillTint="33"/>
            <w:tcW w:w="326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e5b8b7" w:themeFill="accent2" w:themeFillTint="66"/>
            <w:tcW w:w="3326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ВДд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5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профессии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c2d69b" w:themeFill="accent3" w:themeFillTint="99"/>
              </w:rPr>
              <w:t xml:space="preserve">Монтер пути</w:t>
            </w:r>
            <w:r/>
          </w:p>
        </w:tc>
        <w:tc>
          <w:tcPr>
            <w:shd w:val="clear" w:color="auto" w:fill="fde9d9" w:themeFill="accent6" w:themeFillTint="33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ВДд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6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профессии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fde9d9" w:themeFill="accent6" w:themeFillTint="33"/>
              </w:rPr>
              <w:t xml:space="preserve">Сигналист</w:t>
            </w:r>
            <w:r/>
          </w:p>
        </w:tc>
        <w:tc>
          <w:tcPr>
            <w:shd w:val="clear" w:color="auto" w:fill="e5b8b7" w:themeFill="accent2" w:themeFillTint="66"/>
            <w:tcW w:w="18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ВДд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7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профессии </w:t>
            </w:r>
            <w:r/>
          </w:p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e5b8b7" w:themeFill="accent2" w:themeFillTint="66"/>
              </w:rPr>
              <w:t xml:space="preserve">Машинист железнодорожно-строительной машины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c2d69b" w:themeFill="accent3" w:themeFillTint="99"/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fde9d9" w:themeFill="accent6" w:themeFillTint="33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e5b8b7" w:themeFill="accent2" w:themeFillTint="66"/>
            <w:tcW w:w="16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color="auto" w:fill="e5b8b7" w:themeFill="accent2" w:themeFillTint="66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color="auto" w:fill="ffffcc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11</w:t>
            </w:r>
            <w:r/>
          </w:p>
        </w:tc>
        <w:tc>
          <w:tcPr>
            <w:shd w:val="clear" w:color="auto" w:fill="ffffcc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12</w:t>
            </w:r>
            <w:r/>
          </w:p>
        </w:tc>
        <w:tc>
          <w:tcPr>
            <w:shd w:val="clear" w:color="auto" w:fill="ffffcc"/>
            <w:tcW w:w="1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13</w:t>
            </w:r>
            <w:r/>
          </w:p>
        </w:tc>
      </w:tr>
      <w:tr>
        <w:trPr>
          <w:trHeight w:val="641"/>
        </w:trPr>
        <w:tc>
          <w:tcPr>
            <w:shd w:val="clear" w:color="auto" w:fill="c2d69b" w:themeFill="accent3" w:themeFillTint="99"/>
            <w:tcW w:w="1419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84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559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625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701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fffcc"/>
            <w:tcW w:w="184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fffcc"/>
            <w:tcW w:w="1843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fffcc"/>
            <w:tcW w:w="1800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А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простейших работ по ремонту и текущему содержанию железнодорожного пути</w:t>
            </w:r>
            <w:r/>
          </w:p>
        </w:tc>
        <w:tc>
          <w:tcPr>
            <w:shd w:val="clear" w:color="auto" w:fill="c2d69b" w:themeFill="accent3" w:themeFillTint="99"/>
            <w:tcW w:w="184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простейших работ по монтажу, демонтажу и ремонту конструкций верхнего строения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А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ограждению съемных подвижных единиц, мест производства работ на железнодорожном пути</w:t>
            </w:r>
            <w:r/>
          </w:p>
        </w:tc>
        <w:tc>
          <w:tcPr>
            <w:shd w:val="clear" w:color="auto" w:fill="fde9d9" w:themeFill="accent6" w:themeFillTint="33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ограждению съемных подвижных единиц на железнодорожном пути</w:t>
            </w:r>
            <w:r/>
          </w:p>
        </w:tc>
        <w:tc>
          <w:tcPr>
            <w:shd w:val="clear" w:color="auto" w:fill="e5b8b7" w:themeFill="accent2" w:themeFillTint="66"/>
            <w:tcW w:w="1625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(ПС 3)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специальным железнодорожным подвижным составом (самоходным), его техническое обслуживание и ремонт</w:t>
            </w:r>
            <w:r/>
          </w:p>
        </w:tc>
        <w:tc>
          <w:tcPr>
            <w:shd w:val="clear" w:color="auto" w:fill="e5b8b7" w:themeFill="accent2" w:themeFillTint="66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специальным железнодорожным подвижным составом (самоходным)</w:t>
            </w:r>
            <w:r/>
          </w:p>
        </w:tc>
        <w:tc>
          <w:tcPr>
            <w:shd w:val="clear" w:color="auto" w:fill="ffffcc"/>
            <w:tcW w:w="184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5.1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простейшие и простые работы по монтажу, демонтажу и ремонту конструкций верхнего строения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fffcc"/>
            <w:tcW w:w="184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А/01.2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6.1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работы по ограждению съемных подвижных единиц на железнодорожном пути</w:t>
            </w:r>
            <w:r/>
          </w:p>
        </w:tc>
        <w:tc>
          <w:tcPr>
            <w:shd w:val="clear" w:color="auto" w:fill="ffffcc"/>
            <w:tcW w:w="180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В/01.4</w:t>
            </w:r>
            <w:r/>
          </w:p>
          <w:p>
            <w:pPr>
              <w:pStyle w:val="813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7.1.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Управлять специальным железнодорожным подвижным составом (самоходным)</w:t>
            </w:r>
            <w:r/>
          </w:p>
        </w:tc>
      </w:tr>
      <w:tr>
        <w:trPr>
          <w:trHeight w:val="57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84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простейших работ по текущему содержанию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ограждению мест производства работ на железнодорожном пути</w:t>
            </w:r>
            <w:r/>
          </w:p>
        </w:tc>
        <w:tc>
          <w:tcPr>
            <w:shd w:val="clear" w:color="auto" w:fill="e5b8b7" w:themeFill="accent2" w:themeFillTint="66"/>
            <w:tcW w:w="1625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техническому обслуживанию и ремонту специального железнодорожного подвижного состава (самоходного)</w:t>
            </w:r>
            <w:r/>
          </w:p>
        </w:tc>
        <w:tc>
          <w:tcPr>
            <w:shd w:val="clear" w:color="auto" w:fill="ffffcc"/>
            <w:tcW w:w="184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fffcc"/>
            <w:tcW w:w="184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6.2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работы по ограждению мест производства работ на железнодорожном пути</w:t>
            </w:r>
            <w:r/>
          </w:p>
        </w:tc>
        <w:tc>
          <w:tcPr>
            <w:shd w:val="clear" w:color="auto" w:fill="ffffcc"/>
            <w:tcW w:w="180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7.2.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работы по техническому обслуживанию и ремонту специального железнодорожного подвижного состава (самоходного)</w:t>
            </w:r>
            <w:r/>
          </w:p>
        </w:tc>
      </w:tr>
      <w:tr>
        <w:trPr>
          <w:trHeight w:val="20"/>
        </w:trPr>
        <w:tc>
          <w:tcPr>
            <w:shd w:val="clear" w:color="auto" w:fill="c2d69b" w:themeFill="accent3" w:themeFillTint="99"/>
            <w:tcW w:w="141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В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простых работ по ремонту и текущему содержанию железнодорожного пути</w:t>
            </w:r>
            <w:r/>
          </w:p>
        </w:tc>
        <w:tc>
          <w:tcPr>
            <w:shd w:val="clear" w:color="auto" w:fill="c2d69b" w:themeFill="accent3" w:themeFillTint="99"/>
            <w:tcW w:w="184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простых работ по монтажу, демонтажу и ремонту конструкций верхнего строения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В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</w:t>
            </w:r>
            <w:r/>
          </w:p>
        </w:tc>
        <w:tc>
          <w:tcPr>
            <w:shd w:val="clear" w:color="auto" w:fill="fde9d9" w:themeFill="accent6" w:themeFillTint="33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закреплению подвижного состава на путях общего пользования железнодорожной станции</w:t>
            </w:r>
            <w:r/>
          </w:p>
        </w:tc>
        <w:tc>
          <w:tcPr>
            <w:shd w:val="clear" w:color="auto" w:fill="e5b8b7" w:themeFill="accent2" w:themeFillTint="66"/>
            <w:tcW w:w="1625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ОТФ А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(ПС 4)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железнодорожно-строительной машиной (несамоходной), ее техническое обслуживание и ремонт</w:t>
            </w:r>
            <w:r/>
          </w:p>
        </w:tc>
        <w:tc>
          <w:tcPr>
            <w:shd w:val="clear" w:color="auto" w:fill="e5b8b7" w:themeFill="accent2" w:themeFillTint="66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железнодорожно-строительной машиной (несамоходной)</w:t>
            </w:r>
            <w:r/>
          </w:p>
        </w:tc>
        <w:tc>
          <w:tcPr>
            <w:shd w:val="clear" w:color="auto" w:fill="ffffcc"/>
            <w:tcW w:w="184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5.2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простейшие и простые работы по текущему содержанию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fffcc"/>
            <w:tcW w:w="184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В/01.2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6.3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работы по закреплению подвижного состава на путях общего пользования железнодорожной станции</w:t>
            </w:r>
            <w:r/>
          </w:p>
        </w:tc>
        <w:tc>
          <w:tcPr>
            <w:shd w:val="clear" w:color="auto" w:fill="ffffcc"/>
            <w:tcW w:w="180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А/01.4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7.3.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Управлять железнодорожно-строительной машиной (несамоходной)</w:t>
            </w:r>
            <w:r/>
          </w:p>
        </w:tc>
      </w:tr>
      <w:tr>
        <w:trPr>
          <w:trHeight w:val="3105"/>
        </w:trPr>
        <w:tc>
          <w:tcPr>
            <w:shd w:val="clear" w:color="auto" w:fill="c2d69b" w:themeFill="accent3" w:themeFillTint="99"/>
            <w:tcW w:w="14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c2d69b" w:themeFill="accent3" w:themeFillTint="99"/>
            <w:tcW w:w="1842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Выполнение простых работ по текущему содержанию железнодорожного пути в соответствии с технологией выполняемых работ</w:t>
            </w:r>
            <w:r/>
          </w:p>
        </w:tc>
        <w:tc>
          <w:tcPr>
            <w:shd w:val="clear" w:color="auto" w:fill="fde9d9" w:themeFill="accent6" w:themeFillTint="33"/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de9d9" w:themeFill="accent6" w:themeFillTint="33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сигнализации, централизации и блокировки</w:t>
            </w:r>
            <w:r/>
          </w:p>
        </w:tc>
        <w:tc>
          <w:tcPr>
            <w:shd w:val="clear" w:color="auto" w:fill="e5b8b7" w:themeFill="accent2" w:themeFillTint="66"/>
            <w:tcW w:w="1625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e5b8b7" w:themeFill="accent2" w:themeFillTint="66"/>
            <w:tcW w:w="170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А/02.4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Выполнение работ по техническому обслуживанию и ремонту железнодорожно-строительной машиной (несамоходной)</w:t>
            </w:r>
            <w:r/>
          </w:p>
        </w:tc>
        <w:tc>
          <w:tcPr>
            <w:shd w:val="clear" w:color="auto" w:fill="ffffcc"/>
            <w:tcW w:w="184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</w:r>
            <w:r/>
          </w:p>
        </w:tc>
        <w:tc>
          <w:tcPr>
            <w:shd w:val="clear" w:color="auto" w:fill="ffffcc"/>
            <w:tcW w:w="184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В/02.2</w:t>
            </w:r>
            <w:r/>
          </w:p>
          <w:p>
            <w:pPr>
              <w:spacing w:after="0" w:line="240" w:lineRule="auto"/>
              <w:tabs>
                <w:tab w:val="left" w:pos="204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6.4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сигнализации, централизации и блокировки</w:t>
            </w:r>
            <w:r/>
          </w:p>
        </w:tc>
        <w:tc>
          <w:tcPr>
            <w:shd w:val="clear" w:color="auto" w:fill="ffffcc"/>
            <w:tcW w:w="180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ТФ А/02.4</w:t>
            </w:r>
            <w:r/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ПК 7.4.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Выполнять работы по техническому обслуживанию и ремонту железнодорожно-строительной машиной (несамоходной)</w:t>
            </w:r>
            <w:r/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ind w:firstLine="709"/>
        <w:jc w:val="both"/>
        <w:spacing w:after="0" w:line="288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Обозначения:</w:t>
      </w:r>
      <w:r/>
    </w:p>
    <w:p>
      <w:pPr>
        <w:ind w:firstLine="709"/>
        <w:jc w:val="both"/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1 – Профессиональный стандарт 1 – </w:t>
      </w:r>
      <w:r>
        <w:rPr>
          <w:color w:val="C5E0B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0" t="0" r="28575" b="28575"/>
                <wp:docPr id="2" name="Прямоугольник 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5" o:spid="_x0000_s15" o:spt="1" style="mso-wrap-distance-left:0.0pt;mso-wrap-distance-top:0.0pt;mso-wrap-distance-right:0.0pt;mso-wrap-distance-bottom:0.0pt;width:12.8pt;height:12.8pt;" coordsize="100000,100000" path="" fillcolor="#C2D498" strokecolor="#223962" strokeweight="1.00pt">
                <v:path textboxrect="0,0,0,0"/>
              </v:shape>
            </w:pict>
          </mc:Fallback>
        </mc:AlternateContent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ПС 2 – Профессиональный стандарт 2 –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9525" t="9525" r="9525" b="9525"/>
                <wp:docPr id="3" name="Прямоугольник 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BD4B4"/>
                        </a:solidFill>
                        <a:ln w="12700" algn="ctr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6" o:spid="_x0000_s16" o:spt="1" style="mso-wrap-distance-left:0.0pt;mso-wrap-distance-top:0.0pt;mso-wrap-distance-right:0.0pt;mso-wrap-distance-bottom:0.0pt;width:12.8pt;height:12.8pt;" coordsize="100000,100000" path="" fillcolor="#FBD4B4" strokecolor="#2F528F" strokeweight="1.00pt">
                <v:path textboxrect="0,0,0,0"/>
              </v:shape>
            </w:pict>
          </mc:Fallback>
        </mc:AlternateContent>
      </w:r>
      <w:r/>
    </w:p>
    <w:p>
      <w:pPr>
        <w:ind w:firstLine="709"/>
        <w:jc w:val="both"/>
        <w:spacing w:after="0" w:line="288" w:lineRule="auto"/>
      </w:pPr>
      <w:r>
        <w:rPr>
          <w:rFonts w:ascii="Times New Roman" w:hAnsi="Times New Roman"/>
        </w:rPr>
        <w:t xml:space="preserve">ПС 3 – Профессиональный стандарт 3 – </w:t>
      </w:r>
      <w:r>
        <w:rPr>
          <w:color w:val="FBD4B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9525" t="9525" r="9525" b="9525"/>
                <wp:docPr id="4" name="Прямоугольник 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12700" algn="ctr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7" o:spid="_x0000_s17" o:spt="1" style="mso-wrap-distance-left:0.0pt;mso-wrap-distance-top:0.0pt;mso-wrap-distance-right:0.0pt;mso-wrap-distance-bottom:0.0pt;width:12.8pt;height:12.8pt;" coordsize="100000,100000" path="" fillcolor="#E5B8B7" strokecolor="#2F528F" strokeweight="1.00pt">
                <v:path textboxrect="0,0,0,0"/>
              </v:shape>
            </w:pict>
          </mc:Fallback>
        </mc:AlternateContent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ПС 4 – Профессиональный стандарт 4 – </w:t>
      </w:r>
      <w:r>
        <w:rPr>
          <w:color w:val="FBD4B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9525" t="9525" r="9525" b="9525"/>
                <wp:docPr id="5" name="Прямоугольник 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12700" algn="ctr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8" o:spid="_x0000_s18" o:spt="1" style="mso-wrap-distance-left:0.0pt;mso-wrap-distance-top:0.0pt;mso-wrap-distance-right:0.0pt;mso-wrap-distance-bottom:0.0pt;width:12.8pt;height:12.8pt;" coordsize="100000,100000" path="" fillcolor="#E5B8B7" strokecolor="#2F528F" strokeweight="1.00pt">
                <v:path textboxrect="0,0,0,0"/>
              </v:shape>
            </w:pict>
          </mc:Fallback>
        </mc:AlternateContent>
      </w:r>
      <w:r/>
    </w:p>
    <w:p>
      <w:pPr>
        <w:ind w:firstLine="709"/>
        <w:jc w:val="both"/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Т</w:t>
      </w:r>
      <w:r>
        <w:rPr>
          <w:rFonts w:ascii="Times New Roman" w:hAnsi="Times New Roman"/>
        </w:rPr>
        <w:t xml:space="preserve">Ф</w:t>
      </w:r>
      <w:r>
        <w:rPr>
          <w:rFonts w:ascii="Times New Roman" w:hAnsi="Times New Roman"/>
        </w:rPr>
        <w:t xml:space="preserve"> – трудовая функция</w:t>
      </w:r>
      <w:r/>
    </w:p>
    <w:p>
      <w:pPr>
        <w:ind w:left="8496" w:hanging="7785"/>
        <w:jc w:val="both"/>
        <w:spacing w:after="0" w:line="288" w:lineRule="auto"/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3284" cy="170121"/>
                <wp:effectExtent l="0" t="0" r="24765" b="20955"/>
                <wp:docPr id="6" name="Прямоугольник 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23284" cy="170121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9" o:spid="_x0000_s19" o:spt="1" style="mso-wrap-distance-left:0.0pt;mso-wrap-distance-top:0.0pt;mso-wrap-distance-right:0.0pt;mso-wrap-distance-bottom:0.0pt;width:17.6pt;height:13.4pt;" coordsize="100000,100000" path="" fillcolor="#B1C6E6" strokecolor="#000000" strokeweight="1.00pt">
                <v:path textboxrect="0,0,0,0"/>
              </v:shape>
            </w:pict>
          </mc:Fallback>
        </mc:AlternateContent>
      </w:r>
      <w:r>
        <w:tab/>
      </w:r>
      <w:r/>
    </w:p>
    <w:p>
      <w:pPr>
        <w:ind w:firstLine="709"/>
        <w:spacing w:after="0" w:line="288" w:lineRule="auto"/>
        <w:tabs>
          <w:tab w:val="left" w:pos="204" w:leader="none"/>
        </w:tabs>
      </w:pPr>
      <w:r>
        <w:rPr>
          <w:rFonts w:ascii="Times New Roman" w:hAnsi="Times New Roman"/>
          <w:iCs/>
        </w:rPr>
        <w:t xml:space="preserve">Дополнительный профессиональный блок (</w:t>
      </w:r>
      <w:r>
        <w:rPr>
          <w:rFonts w:ascii="Times New Roman" w:hAnsi="Times New Roman"/>
          <w:iCs/>
        </w:rPr>
        <w:t xml:space="preserve">вариативная часть</w:t>
      </w:r>
      <w:r>
        <w:rPr>
          <w:rFonts w:ascii="Times New Roman" w:hAnsi="Times New Roman"/>
          <w:iCs/>
        </w:rPr>
        <w:t xml:space="preserve">)</w:t>
      </w:r>
      <w:r>
        <w:rPr>
          <w:rFonts w:ascii="Times New Roman" w:hAnsi="Times New Roman"/>
        </w:rPr>
        <w:t xml:space="preserve"> –</w:t>
      </w:r>
      <w:r>
        <w:rPr>
          <w:rFonts w:ascii="Times New Roman" w:hAnsi="Times New Roman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3284" cy="170121"/>
                <wp:effectExtent l="0" t="0" r="24765" b="20955"/>
                <wp:docPr id="7" name="Прямоугольник 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23284" cy="170121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0" o:spid="_x0000_s20" o:spt="1" style="mso-wrap-distance-left:0.0pt;mso-wrap-distance-top:0.0pt;mso-wrap-distance-right:0.0pt;mso-wrap-distance-bottom:0.0pt;width:17.6pt;height:13.4pt;" coordsize="100000,100000" path="" fillcolor="#FFFFCC" strokecolor="#000000" strokeweight="1.00pt">
                <v:path textboxrect="0,0,0,0"/>
              </v:shape>
            </w:pict>
          </mc:Fallback>
        </mc:AlternateContent>
      </w:r>
      <w:r>
        <w:tab/>
      </w:r>
      <w:r/>
    </w:p>
    <w:p>
      <w:pPr>
        <w:ind w:left="8496" w:hanging="7785"/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ВД – вид деятельности</w:t>
      </w:r>
      <w:r>
        <w:rPr>
          <w:rFonts w:ascii="Times New Roman" w:hAnsi="Times New Roman"/>
        </w:rPr>
        <w:tab/>
      </w:r>
      <w:r/>
    </w:p>
    <w:p>
      <w:pPr>
        <w:ind w:left="8496" w:hanging="7785"/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ПК – </w:t>
      </w:r>
      <w:r>
        <w:rPr>
          <w:rFonts w:ascii="Times New Roman" w:hAnsi="Times New Roman"/>
        </w:rPr>
        <w:t xml:space="preserve">профессиональная </w:t>
      </w:r>
      <w:r>
        <w:rPr>
          <w:rFonts w:ascii="Times New Roman" w:hAnsi="Times New Roman"/>
        </w:rPr>
        <w:t xml:space="preserve"> компетенция</w:t>
      </w:r>
      <w:r>
        <w:rPr>
          <w:rFonts w:ascii="Times New Roman" w:hAnsi="Times New Roman"/>
        </w:rPr>
        <w:t xml:space="preserve">, в том числе для цифровой экономики.</w:t>
      </w:r>
      <w:r/>
    </w:p>
    <w:p>
      <w:pPr>
        <w:ind w:firstLine="709"/>
        <w:jc w:val="both"/>
        <w:spacing w:after="0" w:line="288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t xml:space="preserve">Разными цветами показано наложение компетенций</w:t>
      </w:r>
      <w:r>
        <w:rPr>
          <w:rFonts w:ascii="Times New Roman" w:hAnsi="Times New Roman"/>
        </w:rPr>
        <w:t xml:space="preserve"> и трудовых функций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b/>
          <w:bCs/>
          <w:sz w:val="24"/>
          <w:szCs w:val="24"/>
        </w:rPr>
        <w:br w:type="page"/>
      </w:r>
      <w:r/>
    </w:p>
    <w:p>
      <w:pPr>
        <w:jc w:val="center"/>
        <w:tabs>
          <w:tab w:val="left" w:pos="204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Таблица 2 – Модель компетенций выпускника (</w:t>
      </w:r>
      <w:r>
        <w:rPr>
          <w:rFonts w:ascii="Times New Roman" w:hAnsi="Times New Roman"/>
          <w:b/>
          <w:bCs/>
          <w:sz w:val="24"/>
          <w:szCs w:val="24"/>
        </w:rPr>
        <w:t xml:space="preserve">надпрофессиональная</w:t>
      </w:r>
      <w:r>
        <w:rPr>
          <w:rFonts w:ascii="Times New Roman" w:hAnsi="Times New Roman"/>
          <w:b/>
          <w:bCs/>
          <w:sz w:val="24"/>
          <w:szCs w:val="24"/>
        </w:rPr>
        <w:t xml:space="preserve"> часть)</w:t>
      </w:r>
      <w:r/>
    </w:p>
    <w:tbl>
      <w:tblPr>
        <w:tblW w:w="50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40"/>
        <w:gridCol w:w="1742"/>
        <w:gridCol w:w="1742"/>
        <w:gridCol w:w="1745"/>
        <w:gridCol w:w="6924"/>
      </w:tblGrid>
      <w:tr>
        <w:trPr/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Корпоративные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компетенции</w:t>
            </w:r>
            <w:r/>
          </w:p>
        </w:tc>
        <w:tc>
          <w:tcPr>
            <w:gridSpan w:val="3"/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44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Реализуемые общие компетенции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согласно ФГОС СПО</w:t>
            </w:r>
            <w:r/>
          </w:p>
        </w:tc>
      </w:tr>
      <w:tr>
        <w:trPr>
          <w:trHeight w:val="8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Начальный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уровень*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Базовый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уровень**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Повышенный уровень***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858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1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Инновативность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Принимать решения в стандартных и нестандартных ситуациях и нести за них ответственность 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 условиях частой смены технологий в профессиональной деятельности</w:t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Открыт к восприятию нового. Своевременно адаптируется к изменениям. В рабочих процессах и регламентах выявляет зоны, требующие совершенствования, своевременно предлагает реализуемые оптимизационные и новаторские идеи и способствует их реализации.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2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Клиентоориентированность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Понимать сущность и социальную значимость своей будущей профессии, проявлять к ней устойчивый интерес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2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Регулярно инициирует и поддерживает взаимодействие с внутренними/внешними клиентами, оперативно реагирует на запросы, информирует их по вопросам, находящимся в работе. Инициативно проясняет и изуч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ает актуальные запросы, интересы и цели клиентов, получает обратную связь. Своевременно предлагает решения, отвечающие потребностям и интересам клиентов и соответствующие интересам компании. На основе обратной связи от клиентов корректирует свои действия.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Прикладывает дополнительные усилия для решения вопроса клиента, обеспечивает превышение требуемого уровня услуги и сервиса для большей</w:t>
            </w:r>
            <w:r/>
          </w:p>
          <w:p>
            <w:pPr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удовлетворенности клиента.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3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Ответственность за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результат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Принимать решения в стандартных и нестандартных ситуациях и нести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 них ответственность 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Брать на себя ответственность за работу членов команды (подчиненных), за результат выполнения заданий 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 условиях частой смены технологий в профессиональной деятельности</w:t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готовностью берется за решение сложных задач. Действует настойчиво, активно и самостоятельно при достижении результата и преодолении препятствий.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Проявляет высокую работоспособность, не снижает результативность работы в условиях высокой нагрузки. Находит действенн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ые способы достижения цели, меняет их в случае отсутствия требуемого эффекта. Доводит дело до конца, достигает результата высокого качества и повышает планку достижений. Своевременно принимает необходимые решения в зоне своей ответственности. Соблюдает уст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ановленные договоренности и взятые на себя обязательства. Принимает персональную ответственность за полученные результаты и их улучшение, за ошибки и последствия своих решений. Принимает на себя ответственность компании перед обществом и окружающей средой.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4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Организация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рабочего процесса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Принимать решения в стандартных и нестандартных ситуациях и нести за них ответственность 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 условиях частой смены технологий в профессиональной деятельности</w:t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Четко планирует свое рабочее время и другие ресурсы для выполнения поставленных задач с учетом приоритетности их выполнения. Соблюдает установленные сроки выполнения поставленных задач. Действует четко в соответ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ствии с правилами, инструкциями, стандартами и регламентами, обязательными к выполнению. Бережно и рационально использует ресурсы компании. Честно и своевременно предоставляет руководителю полную информацию о ходе выполнения задачи и возникающих проблемах.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5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Командная работа и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взаимовыручка 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Понимать сущность и социальную значимость своей будущей профессии, проявлять к ней устойчивый интерес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Работать в коллективе и в команде, эффективно общаться с коллегами, руководством, потребителями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Брать на себя ответственность за работу членов команды (подчиненных), за результат выполнения заданий</w:t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3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Активно работает на достижение общекомандного результата, а не индивидуальных целей. Учитывает влияние своих действий на смежные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участки работы. Инициативно сотруднич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ает с коллегами, поддерживает их, оказывает необходимую помощь. Находит способы для конструктивного разрешения конфликтов. По собственной инициативе своевременно предоставляет коллегам информацию и экспертизу, необходимые для достижения общего результата.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Разделяет и соблюдает ценности, этические принципы, традиции команды и компании.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6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Развитие и забота о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сотрудниках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Использовать информационно-коммуникационные технологии в профессиональной деятельности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Работать в коллективе и в команде, эффективно общаться с коллегами, руководством, потребителями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 условиях частой смены технологий в профессиональной деятельности</w:t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2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Точно понимает свои сильные стороны и зоны роста и определяет направления своего развития. Использует обратную связь в качестве источника для выявления зон роста и способов развития. На регулярной основе самостоятельно заним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ается собственным развитием в различных сферах (профессиональная, управленческая, личностная) с использованием разных способов. Расширяет кругозор за счет получения актуальной информации по различным направлениям внутри компании, во внешней среде. Осваивае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 и успешно применяет на практике новые знания и навыки. Своевременно инициирует с руководителем обсуждение уровня и содержания своей мотивации. Инициативно ищет возможности для карьерных перемещений, связанных с максимальным применением своего потенциала.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7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Комплексное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мышление 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Принимать решения в стандартных и нестандартных ситуациях и нести за них ответственность 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 условиях частой смены технологий в профессиональной деятельности</w:t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Делает точные выводы на основе анализа различных видов значимых данных о ситуации и причинах ее возникновения. Выбирает действия, минимизирующие риски и финансовые затраты и позволяющие использовать возможности ситуации.</w:t>
            </w:r>
            <w:r/>
          </w:p>
        </w:tc>
      </w:tr>
      <w:tr>
        <w:trPr>
          <w:trHeight w:val="464"/>
        </w:trPr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/>
            <w:bookmarkStart w:id="2" w:name="_GoBack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компетенция 8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Эффективная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коммуникация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ff2c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+/–</w:t>
            </w:r>
            <w:r/>
          </w:p>
        </w:tc>
        <w:tc>
          <w:tcPr>
            <w:shd w:val="clear" w:color="auto" w:fill="f7caac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+</w:t>
            </w:r>
            <w:r/>
          </w:p>
        </w:tc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Работать в коллективе и в команде, эффективно общаться с коллегами, руководством, потребителями</w:t>
            </w:r>
            <w:r/>
          </w:p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ОК.7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Брать на себя ответственность за работу членов команды (подчиненных), за результат выполнения заданий</w:t>
            </w:r>
            <w:bookmarkEnd w:id="2"/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4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0" w:type="pct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5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0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Четко, последовательно и доступно излагает свою позицию в индивидуальном общении и перед аудиторией, использует формат общения,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подходящий ситуации. Убедительно представляет и продвигает свою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позицию, с использованием различных аргументов и способов в зависимости от специфики собеседника и ситуации. Уверенно управляет обсуждением. Внимательно выслушивает собеседника, проясняет его мнение, учитывает альтернативные позиции. Эффективно работает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возражениями собеседника за счет убедительных своевременных контрдоводов. Уважительно и конструктивно взаимодействует с коллегами вне зависимости от их статуса и уровня подчинения. Целенаправленно выстраивает и поддерживает широкую сеть деловых контактов.</w:t>
            </w:r>
            <w:r/>
          </w:p>
        </w:tc>
      </w:tr>
    </w:tbl>
    <w:p>
      <w:pPr>
        <w:jc w:val="center"/>
        <w:tabs>
          <w:tab w:val="left" w:pos="204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Обозначения:</w:t>
      </w:r>
      <w:r/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2250" cy="143510"/>
                <wp:effectExtent l="9525" t="9525" r="6350" b="8890"/>
                <wp:docPr id="8" name="Прямоугольник 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1" o:spid="_x0000_s21" o:spt="1" style="mso-wrap-distance-left:0.0pt;mso-wrap-distance-top:0.0pt;mso-wrap-distance-right:0.0pt;mso-wrap-distance-bottom:0.0pt;width:17.5pt;height:11.3pt;" coordsize="100000,100000" path="" fillcolor="#FFF2CC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  <w:r/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2250" cy="144145"/>
                <wp:effectExtent l="9525" t="9525" r="6350" b="8255"/>
                <wp:docPr id="9" name="Прямоугольник 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2" o:spid="_x0000_s22" o:spt="1" style="mso-wrap-distance-left:0.0pt;mso-wrap-distance-top:0.0pt;mso-wrap-distance-right:0.0pt;mso-wrap-distance-bottom:0.0pt;width:17.5pt;height:11.3pt;" coordsize="100000,100000" path="" fillcolor="#B4C7E7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  <w:r/>
    </w:p>
    <w:p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Таблица 3 – Показатель сформированности корпоративных компетенций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>
        <w:trPr>
          <w:trHeight w:val="416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50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Описание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Уровень развития</w:t>
            </w:r>
            <w:r/>
          </w:p>
        </w:tc>
      </w:tr>
      <w:tr>
        <w:trPr>
          <w:trHeight w:val="10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50" w:type="pct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Повышенный 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уровень***</w:t>
            </w:r>
            <w:r/>
          </w:p>
        </w:tc>
      </w:tr>
      <w:tr>
        <w:trPr>
          <w:trHeight w:val="12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50" w:type="pct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Выпускник демонстрирует в равной степени как позитивные, так и негативные инди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Базовый 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уровень**</w:t>
            </w:r>
            <w:r/>
          </w:p>
        </w:tc>
      </w:tr>
      <w:tr>
        <w:trPr>
          <w:trHeight w:val="7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50" w:type="pct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</w:t>
            </w:r>
            <w:r/>
          </w:p>
          <w:p>
            <w:pPr>
              <w:jc w:val="center"/>
              <w:spacing w:after="0"/>
              <w:tabs>
                <w:tab w:val="left" w:pos="204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Начальный 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уровень*</w:t>
            </w:r>
            <w:r/>
          </w:p>
        </w:tc>
      </w:tr>
    </w:tbl>
    <w:p>
      <w:pPr>
        <w:jc w:val="center"/>
        <w:tabs>
          <w:tab w:val="left" w:pos="204" w:leader="none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/>
    </w:p>
    <w:sectPr>
      <w:footerReference w:type="default" r:id="rId11"/>
      <w:footerReference w:type="even" r:id="rId12"/>
      <w:footnotePr/>
      <w:endnotePr/>
      <w:type w:val="nextPage"/>
      <w:pgSz w:w="16838" w:h="11906" w:orient="landscape"/>
      <w:pgMar w:top="1418" w:right="113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 Light">
    <w:panose1 w:val="020F0502020204030204"/>
  </w:font>
  <w:font w:name="+mn-cs">
    <w:panose1 w:val="05040102010807070707"/>
  </w:font>
  <w:font w:name="Courier New">
    <w:panose1 w:val="02070409020205020404"/>
  </w:font>
  <w:font w:name="Verdana">
    <w:panose1 w:val="020B0603030804020204"/>
  </w:font>
  <w:font w:name="Segoe UI">
    <w:panose1 w:val="020B0502040504020204"/>
  </w:font>
  <w:font w:name="Arial">
    <w:panose1 w:val="020B0604020202020204"/>
  </w:font>
  <w:font w:name="+mn-ea">
    <w:panose1 w:val="05040102010807070707"/>
  </w:font>
  <w:font w:name="Times New Roman">
    <w:panose1 w:val="02020603050405020304"/>
  </w:font>
  <w:font w:name="Batang">
    <w:panose1 w:val="02020603020101020101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rPr>
        <w:rStyle w:val="798"/>
      </w:rPr>
      <w:framePr w:wrap="around" w:vAnchor="text" w:hAnchor="margin" w:xAlign="right" w:y="1"/>
    </w:pPr>
    <w:r>
      <w:rPr>
        <w:rStyle w:val="798"/>
      </w:rPr>
      <w:fldChar w:fldCharType="begin"/>
    </w:r>
    <w:r>
      <w:rPr>
        <w:rStyle w:val="798"/>
      </w:rPr>
      <w:instrText xml:space="preserve">PAGE  </w:instrText>
    </w:r>
    <w:r>
      <w:rPr>
        <w:rStyle w:val="798"/>
      </w:rPr>
      <w:fldChar w:fldCharType="end"/>
    </w:r>
    <w:r/>
  </w:p>
  <w:p>
    <w:pPr>
      <w:pStyle w:val="796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11</w:t>
    </w:r>
    <w:r>
      <w:fldChar w:fldCharType="end"/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rPr>
        <w:rStyle w:val="798"/>
      </w:rPr>
      <w:framePr w:wrap="around" w:vAnchor="text" w:hAnchor="margin" w:xAlign="right" w:y="1"/>
    </w:pPr>
    <w:r>
      <w:rPr>
        <w:rStyle w:val="798"/>
      </w:rPr>
      <w:fldChar w:fldCharType="begin"/>
    </w:r>
    <w:r>
      <w:rPr>
        <w:rStyle w:val="798"/>
      </w:rPr>
      <w:instrText xml:space="preserve">PAGE  </w:instrText>
    </w:r>
    <w:r>
      <w:rPr>
        <w:rStyle w:val="798"/>
      </w:rPr>
      <w:fldChar w:fldCharType="end"/>
    </w:r>
    <w:r/>
  </w:p>
  <w:p>
    <w:pPr>
      <w:pStyle w:val="79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suff w:val="tab"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rFonts w:cs="Times New Roman" w:hint="default"/>
        <w:b/>
      </w:rPr>
    </w:lvl>
    <w:lvl w:ilvl="1">
      <w:start w:val="3"/>
      <w:numFmt w:val="decimal"/>
      <w:isLgl/>
      <w:suff w:val="tab"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  <w:b/>
        <w:b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cs="Times New Roman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6"/>
  </w:num>
  <w:num w:numId="3">
    <w:abstractNumId w:val="10"/>
  </w:num>
  <w:num w:numId="4">
    <w:abstractNumId w:val="19"/>
  </w:num>
  <w:num w:numId="5">
    <w:abstractNumId w:val="25"/>
  </w:num>
  <w:num w:numId="6">
    <w:abstractNumId w:val="15"/>
  </w:num>
  <w:num w:numId="7">
    <w:abstractNumId w:val="23"/>
  </w:num>
  <w:num w:numId="8">
    <w:abstractNumId w:val="38"/>
  </w:num>
  <w:num w:numId="9">
    <w:abstractNumId w:val="21"/>
  </w:num>
  <w:num w:numId="10">
    <w:abstractNumId w:val="32"/>
  </w:num>
  <w:num w:numId="11">
    <w:abstractNumId w:val="29"/>
  </w:num>
  <w:num w:numId="12">
    <w:abstractNumId w:val="34"/>
  </w:num>
  <w:num w:numId="13">
    <w:abstractNumId w:val="20"/>
  </w:num>
  <w:num w:numId="14">
    <w:abstractNumId w:val="24"/>
  </w:num>
  <w:num w:numId="15">
    <w:abstractNumId w:val="39"/>
  </w:num>
  <w:num w:numId="16">
    <w:abstractNumId w:val="18"/>
  </w:num>
  <w:num w:numId="17">
    <w:abstractNumId w:val="16"/>
  </w:num>
  <w:num w:numId="18">
    <w:abstractNumId w:val="33"/>
  </w:num>
  <w:num w:numId="19">
    <w:abstractNumId w:val="16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0"/>
  </w:num>
  <w:num w:numId="30">
    <w:abstractNumId w:val="26"/>
  </w:num>
  <w:num w:numId="31">
    <w:abstractNumId w:val="27"/>
  </w:num>
  <w:num w:numId="32">
    <w:abstractNumId w:val="22"/>
  </w:num>
  <w:num w:numId="33">
    <w:abstractNumId w:val="35"/>
  </w:num>
  <w:num w:numId="34">
    <w:abstractNumId w:val="37"/>
  </w:num>
  <w:num w:numId="35">
    <w:abstractNumId w:val="28"/>
  </w:num>
  <w:num w:numId="36">
    <w:abstractNumId w:val="13"/>
  </w:num>
  <w:num w:numId="37">
    <w:abstractNumId w:val="9"/>
  </w:num>
  <w:num w:numId="38">
    <w:abstractNumId w:val="12"/>
  </w:num>
  <w:num w:numId="39">
    <w:abstractNumId w:val="14"/>
  </w:num>
  <w:num w:numId="40">
    <w:abstractNumId w:val="17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84"/>
    <w:link w:val="780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84"/>
    <w:link w:val="781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84"/>
    <w:link w:val="782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784"/>
    <w:link w:val="783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79"/>
    <w:next w:val="779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8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79"/>
    <w:next w:val="779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8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79"/>
    <w:next w:val="779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8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79"/>
    <w:next w:val="779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8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79"/>
    <w:next w:val="779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8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784"/>
    <w:link w:val="914"/>
    <w:uiPriority w:val="10"/>
    <w:rPr>
      <w:sz w:val="48"/>
      <w:szCs w:val="48"/>
    </w:rPr>
  </w:style>
  <w:style w:type="character" w:styleId="35">
    <w:name w:val="Subtitle Char"/>
    <w:basedOn w:val="784"/>
    <w:link w:val="909"/>
    <w:uiPriority w:val="11"/>
    <w:rPr>
      <w:sz w:val="24"/>
      <w:szCs w:val="24"/>
    </w:rPr>
  </w:style>
  <w:style w:type="paragraph" w:styleId="36">
    <w:name w:val="Quote"/>
    <w:basedOn w:val="779"/>
    <w:next w:val="779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79"/>
    <w:next w:val="779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84"/>
    <w:link w:val="814"/>
    <w:uiPriority w:val="99"/>
  </w:style>
  <w:style w:type="character" w:styleId="43">
    <w:name w:val="Footer Char"/>
    <w:basedOn w:val="784"/>
    <w:link w:val="796"/>
    <w:uiPriority w:val="99"/>
  </w:style>
  <w:style w:type="paragraph" w:styleId="44">
    <w:name w:val="Caption"/>
    <w:basedOn w:val="779"/>
    <w:next w:val="7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96"/>
    <w:uiPriority w:val="99"/>
  </w:style>
  <w:style w:type="table" w:styleId="47">
    <w:name w:val="Table Grid Light"/>
    <w:basedOn w:val="7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Endnote Text Char"/>
    <w:link w:val="899"/>
    <w:uiPriority w:val="99"/>
    <w:rPr>
      <w:sz w:val="20"/>
    </w:rPr>
  </w:style>
  <w:style w:type="paragraph" w:styleId="189">
    <w:name w:val="table of figures"/>
    <w:basedOn w:val="779"/>
    <w:next w:val="779"/>
    <w:uiPriority w:val="99"/>
    <w:unhideWhenUsed/>
    <w:pPr>
      <w:spacing w:after="0" w:afterAutospacing="0"/>
    </w:pPr>
  </w:style>
  <w:style w:type="paragraph" w:styleId="779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780">
    <w:name w:val="Heading 1"/>
    <w:basedOn w:val="779"/>
    <w:next w:val="779"/>
    <w:link w:val="787"/>
    <w:qFormat/>
    <w:pPr>
      <w:ind w:firstLine="709"/>
      <w:keepNext/>
      <w:spacing w:before="240" w:after="12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paragraph" w:styleId="781">
    <w:name w:val="Heading 2"/>
    <w:basedOn w:val="779"/>
    <w:next w:val="779"/>
    <w:link w:val="788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782">
    <w:name w:val="Heading 3"/>
    <w:basedOn w:val="779"/>
    <w:next w:val="779"/>
    <w:link w:val="789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783">
    <w:name w:val="Heading 4"/>
    <w:basedOn w:val="782"/>
    <w:next w:val="779"/>
    <w:link w:val="790"/>
    <w:uiPriority w:val="99"/>
    <w:qFormat/>
    <w:pPr>
      <w:jc w:val="center"/>
      <w:keepLines/>
      <w:spacing w:after="240" w:line="360" w:lineRule="auto"/>
      <w:outlineLvl w:val="3"/>
    </w:pPr>
    <w:rPr>
      <w:rFonts w:ascii="Times New Roman" w:hAnsi="Times New Roman"/>
      <w:sz w:val="24"/>
      <w:szCs w:val="24"/>
    </w:rPr>
  </w:style>
  <w:style w:type="character" w:styleId="784" w:default="1">
    <w:name w:val="Default Paragraph Font"/>
    <w:uiPriority w:val="1"/>
    <w:semiHidden/>
    <w:unhideWhenUsed/>
  </w:style>
  <w:style w:type="table" w:styleId="7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6" w:default="1">
    <w:name w:val="No List"/>
    <w:uiPriority w:val="99"/>
    <w:semiHidden/>
    <w:unhideWhenUsed/>
  </w:style>
  <w:style w:type="character" w:styleId="787" w:customStyle="1">
    <w:name w:val="Заголовок 1 Знак"/>
    <w:link w:val="780"/>
    <w:rPr>
      <w:rFonts w:ascii="Times New Roman" w:hAnsi="Times New Roman"/>
      <w:b/>
      <w:bCs/>
      <w:sz w:val="24"/>
      <w:szCs w:val="24"/>
    </w:rPr>
  </w:style>
  <w:style w:type="character" w:styleId="788" w:customStyle="1">
    <w:name w:val="Заголовок 2 Знак"/>
    <w:link w:val="781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styleId="789" w:customStyle="1">
    <w:name w:val="Заголовок 3 Знак"/>
    <w:link w:val="782"/>
    <w:uiPriority w:val="99"/>
    <w:rPr>
      <w:rFonts w:ascii="Arial" w:hAnsi="Arial" w:cs="Times New Roman"/>
      <w:b/>
      <w:bCs/>
      <w:sz w:val="26"/>
      <w:szCs w:val="26"/>
    </w:rPr>
  </w:style>
  <w:style w:type="character" w:styleId="790" w:customStyle="1">
    <w:name w:val="Заголовок 4 Знак"/>
    <w:link w:val="783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791">
    <w:name w:val="Body Text"/>
    <w:basedOn w:val="779"/>
    <w:link w:val="79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792" w:customStyle="1">
    <w:name w:val="Основной текст Знак"/>
    <w:link w:val="791"/>
    <w:rPr>
      <w:rFonts w:ascii="Times New Roman" w:hAnsi="Times New Roman" w:cs="Times New Roman"/>
      <w:sz w:val="24"/>
      <w:szCs w:val="24"/>
    </w:rPr>
  </w:style>
  <w:style w:type="paragraph" w:styleId="793">
    <w:name w:val="Body Text 2"/>
    <w:basedOn w:val="779"/>
    <w:link w:val="794"/>
    <w:pPr>
      <w:ind w:right="-57"/>
      <w:jc w:val="both"/>
      <w:spacing w:after="0" w:line="240" w:lineRule="auto"/>
    </w:pPr>
    <w:rPr>
      <w:rFonts w:ascii="Times New Roman" w:hAnsi="Times New Roman"/>
      <w:sz w:val="24"/>
      <w:szCs w:val="24"/>
    </w:rPr>
  </w:style>
  <w:style w:type="character" w:styleId="794" w:customStyle="1">
    <w:name w:val="Основной текст 2 Знак"/>
    <w:link w:val="793"/>
    <w:rPr>
      <w:rFonts w:ascii="Times New Roman" w:hAnsi="Times New Roman" w:cs="Times New Roman"/>
      <w:sz w:val="24"/>
      <w:szCs w:val="24"/>
    </w:rPr>
  </w:style>
  <w:style w:type="character" w:styleId="795" w:customStyle="1">
    <w:name w:val="blk"/>
  </w:style>
  <w:style w:type="paragraph" w:styleId="796">
    <w:name w:val="Footer"/>
    <w:basedOn w:val="779"/>
    <w:link w:val="797"/>
    <w:uiPriority w:val="99"/>
    <w:pPr>
      <w:spacing w:before="120" w:after="12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4"/>
      <w:szCs w:val="24"/>
    </w:rPr>
  </w:style>
  <w:style w:type="character" w:styleId="797" w:customStyle="1">
    <w:name w:val="Нижний колонтитул Знак"/>
    <w:link w:val="796"/>
    <w:uiPriority w:val="99"/>
    <w:rPr>
      <w:rFonts w:ascii="Times New Roman" w:hAnsi="Times New Roman" w:cs="Times New Roman"/>
      <w:sz w:val="24"/>
      <w:szCs w:val="24"/>
    </w:rPr>
  </w:style>
  <w:style w:type="character" w:styleId="798">
    <w:name w:val="page number"/>
    <w:rPr>
      <w:rFonts w:cs="Times New Roman"/>
    </w:rPr>
  </w:style>
  <w:style w:type="paragraph" w:styleId="799">
    <w:name w:val="Normal (Web)"/>
    <w:basedOn w:val="779"/>
    <w:link w:val="903"/>
    <w:uiPriority w:val="99"/>
    <w:qFormat/>
    <w:pPr>
      <w:spacing w:after="0" w:line="240" w:lineRule="auto"/>
      <w:widowControl w:val="off"/>
    </w:pPr>
    <w:rPr>
      <w:rFonts w:ascii="Times New Roman" w:hAnsi="Times New Roman"/>
      <w:sz w:val="24"/>
      <w:szCs w:val="24"/>
      <w:lang w:val="en-US" w:eastAsia="nl-NL"/>
    </w:rPr>
  </w:style>
  <w:style w:type="paragraph" w:styleId="800">
    <w:name w:val="footnote text"/>
    <w:basedOn w:val="779"/>
    <w:link w:val="801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styleId="801" w:customStyle="1">
    <w:name w:val="Текст сноски Знак"/>
    <w:link w:val="800"/>
    <w:uiPriority w:val="99"/>
    <w:rPr>
      <w:rFonts w:ascii="Times New Roman" w:hAnsi="Times New Roman" w:cs="Times New Roman"/>
      <w:sz w:val="20"/>
      <w:szCs w:val="20"/>
      <w:lang w:val="en-US"/>
    </w:rPr>
  </w:style>
  <w:style w:type="character" w:styleId="802">
    <w:name w:val="footnote reference"/>
    <w:uiPriority w:val="99"/>
    <w:rPr>
      <w:rFonts w:cs="Times New Roman"/>
      <w:vertAlign w:val="superscript"/>
    </w:rPr>
  </w:style>
  <w:style w:type="paragraph" w:styleId="803">
    <w:name w:val="List 2"/>
    <w:basedOn w:val="779"/>
    <w:pPr>
      <w:ind w:left="720" w:hanging="360"/>
      <w:jc w:val="both"/>
      <w:spacing w:before="120" w:after="120" w:line="240" w:lineRule="auto"/>
    </w:pPr>
    <w:rPr>
      <w:rFonts w:ascii="Arial" w:hAnsi="Arial" w:eastAsia="Batang"/>
      <w:sz w:val="20"/>
      <w:szCs w:val="24"/>
      <w:lang w:eastAsia="ko-KR"/>
    </w:rPr>
  </w:style>
  <w:style w:type="character" w:styleId="804">
    <w:name w:val="Hyperlink"/>
    <w:uiPriority w:val="99"/>
    <w:rPr>
      <w:rFonts w:cs="Times New Roman"/>
      <w:color w:val="0000FF"/>
      <w:u w:val="single"/>
    </w:rPr>
  </w:style>
  <w:style w:type="paragraph" w:styleId="805">
    <w:name w:val="toc 1"/>
    <w:basedOn w:val="779"/>
    <w:next w:val="779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806">
    <w:name w:val="toc 2"/>
    <w:basedOn w:val="779"/>
    <w:next w:val="779"/>
    <w:uiPriority w:val="39"/>
    <w:pPr>
      <w:ind w:left="240"/>
      <w:spacing w:before="120" w:after="0" w:line="240" w:lineRule="auto"/>
      <w:tabs>
        <w:tab w:val="right" w:pos="9344" w:leader="dot"/>
      </w:tabs>
    </w:pPr>
    <w:rPr>
      <w:rFonts w:ascii="Times New Roman" w:hAnsi="Times New Roman" w:cs="Calibri"/>
      <w:i/>
      <w:iCs/>
      <w:sz w:val="20"/>
      <w:szCs w:val="20"/>
    </w:rPr>
  </w:style>
  <w:style w:type="paragraph" w:styleId="807">
    <w:name w:val="toc 3"/>
    <w:basedOn w:val="779"/>
    <w:next w:val="779"/>
    <w:uiPriority w:val="39"/>
    <w:pPr>
      <w:ind w:left="480"/>
      <w:spacing w:after="0" w:line="240" w:lineRule="auto"/>
    </w:pPr>
    <w:rPr>
      <w:rFonts w:ascii="Times New Roman" w:hAnsi="Times New Roman"/>
      <w:sz w:val="28"/>
      <w:szCs w:val="28"/>
    </w:rPr>
  </w:style>
  <w:style w:type="character" w:styleId="808" w:customStyle="1">
    <w:name w:val="Footnote Text Char"/>
    <w:rPr>
      <w:rFonts w:ascii="Times New Roman" w:hAnsi="Times New Roman"/>
      <w:sz w:val="20"/>
      <w:lang w:eastAsia="ru-RU"/>
    </w:rPr>
  </w:style>
  <w:style w:type="paragraph" w:styleId="809">
    <w:name w:val="List Paragraph"/>
    <w:basedOn w:val="779"/>
    <w:link w:val="902"/>
    <w:uiPriority w:val="34"/>
    <w:qFormat/>
    <w:pPr>
      <w:ind w:left="708"/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styleId="810">
    <w:name w:val="Emphasis"/>
    <w:qFormat/>
    <w:rPr>
      <w:rFonts w:cs="Times New Roman"/>
      <w:i/>
    </w:rPr>
  </w:style>
  <w:style w:type="paragraph" w:styleId="811">
    <w:name w:val="Balloon Text"/>
    <w:basedOn w:val="779"/>
    <w:link w:val="812"/>
    <w:uiPriority w:val="99"/>
    <w:pPr>
      <w:spacing w:after="0" w:line="240" w:lineRule="auto"/>
    </w:pPr>
    <w:rPr>
      <w:rFonts w:ascii="Segoe UI" w:hAnsi="Segoe UI"/>
      <w:sz w:val="18"/>
      <w:szCs w:val="18"/>
    </w:rPr>
  </w:style>
  <w:style w:type="character" w:styleId="812" w:customStyle="1">
    <w:name w:val="Текст выноски Знак"/>
    <w:link w:val="811"/>
    <w:uiPriority w:val="99"/>
    <w:rPr>
      <w:rFonts w:ascii="Segoe UI" w:hAnsi="Segoe UI" w:cs="Times New Roman"/>
      <w:sz w:val="18"/>
      <w:szCs w:val="18"/>
    </w:rPr>
  </w:style>
  <w:style w:type="paragraph" w:styleId="813" w:customStyle="1">
    <w:name w:val="ConsPlusNormal"/>
    <w:pPr>
      <w:widowControl w:val="off"/>
    </w:pPr>
    <w:rPr>
      <w:rFonts w:ascii="Arial" w:hAnsi="Arial" w:cs="Arial"/>
    </w:rPr>
  </w:style>
  <w:style w:type="paragraph" w:styleId="814">
    <w:name w:val="Header"/>
    <w:basedOn w:val="779"/>
    <w:link w:val="81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4"/>
      <w:szCs w:val="24"/>
    </w:rPr>
  </w:style>
  <w:style w:type="character" w:styleId="815" w:customStyle="1">
    <w:name w:val="Верхний колонтитул Знак"/>
    <w:link w:val="814"/>
    <w:uiPriority w:val="99"/>
    <w:rPr>
      <w:rFonts w:ascii="Times New Roman" w:hAnsi="Times New Roman" w:cs="Times New Roman"/>
      <w:sz w:val="24"/>
      <w:szCs w:val="24"/>
    </w:rPr>
  </w:style>
  <w:style w:type="character" w:styleId="816" w:customStyle="1">
    <w:name w:val="Текст примечания Знак11"/>
    <w:uiPriority w:val="99"/>
    <w:rPr>
      <w:rFonts w:cs="Times New Roman"/>
      <w:sz w:val="20"/>
      <w:szCs w:val="20"/>
    </w:rPr>
  </w:style>
  <w:style w:type="paragraph" w:styleId="817">
    <w:name w:val="annotation text"/>
    <w:basedOn w:val="779"/>
    <w:link w:val="818"/>
    <w:uiPriority w:val="99"/>
    <w:unhideWhenUsed/>
    <w:pPr>
      <w:spacing w:after="0" w:line="240" w:lineRule="auto"/>
    </w:pPr>
    <w:rPr>
      <w:sz w:val="20"/>
      <w:szCs w:val="20"/>
    </w:rPr>
  </w:style>
  <w:style w:type="character" w:styleId="818" w:customStyle="1">
    <w:name w:val="Текст примечания Знак"/>
    <w:link w:val="817"/>
    <w:uiPriority w:val="99"/>
    <w:rPr>
      <w:rFonts w:cs="Times New Roman"/>
      <w:sz w:val="20"/>
      <w:szCs w:val="20"/>
    </w:rPr>
  </w:style>
  <w:style w:type="character" w:styleId="819" w:customStyle="1">
    <w:name w:val="Текст примечания Знак1"/>
    <w:uiPriority w:val="99"/>
    <w:rPr>
      <w:rFonts w:cs="Times New Roman"/>
      <w:sz w:val="20"/>
      <w:szCs w:val="20"/>
    </w:rPr>
  </w:style>
  <w:style w:type="character" w:styleId="820" w:customStyle="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821">
    <w:name w:val="annotation subject"/>
    <w:basedOn w:val="817"/>
    <w:next w:val="817"/>
    <w:link w:val="822"/>
    <w:uiPriority w:val="99"/>
    <w:unhideWhenUsed/>
    <w:rPr>
      <w:rFonts w:ascii="Times New Roman" w:hAnsi="Times New Roman"/>
      <w:b/>
      <w:bCs/>
    </w:rPr>
  </w:style>
  <w:style w:type="character" w:styleId="822" w:customStyle="1">
    <w:name w:val="Тема примечания Знак"/>
    <w:link w:val="8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23" w:customStyle="1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824">
    <w:name w:val="Body Text Indent 2"/>
    <w:basedOn w:val="779"/>
    <w:link w:val="825"/>
    <w:pPr>
      <w:ind w:left="283"/>
      <w:spacing w:after="120" w:line="480" w:lineRule="auto"/>
    </w:pPr>
    <w:rPr>
      <w:rFonts w:ascii="Times New Roman" w:hAnsi="Times New Roman"/>
      <w:sz w:val="24"/>
      <w:szCs w:val="24"/>
    </w:rPr>
  </w:style>
  <w:style w:type="character" w:styleId="825" w:customStyle="1">
    <w:name w:val="Основной текст с отступом 2 Знак"/>
    <w:link w:val="824"/>
    <w:rPr>
      <w:rFonts w:ascii="Times New Roman" w:hAnsi="Times New Roman" w:cs="Times New Roman"/>
      <w:sz w:val="24"/>
      <w:szCs w:val="24"/>
    </w:rPr>
  </w:style>
  <w:style w:type="character" w:styleId="826" w:customStyle="1">
    <w:name w:val="apple-converted-space"/>
  </w:style>
  <w:style w:type="character" w:styleId="827" w:customStyle="1">
    <w:name w:val="Цветовое выделение"/>
    <w:uiPriority w:val="99"/>
    <w:rPr>
      <w:b/>
      <w:color w:val="26282F"/>
    </w:rPr>
  </w:style>
  <w:style w:type="character" w:styleId="828" w:customStyle="1">
    <w:name w:val="Гипертекстовая ссылка"/>
    <w:uiPriority w:val="99"/>
    <w:rPr>
      <w:b/>
      <w:color w:val="106BBE"/>
    </w:rPr>
  </w:style>
  <w:style w:type="character" w:styleId="829" w:customStyle="1">
    <w:name w:val="Активная гипертекстовая ссылка"/>
    <w:uiPriority w:val="99"/>
    <w:rPr>
      <w:b/>
      <w:color w:val="106BBE"/>
      <w:u w:val="single"/>
    </w:rPr>
  </w:style>
  <w:style w:type="paragraph" w:styleId="830" w:customStyle="1">
    <w:name w:val="Внимание"/>
    <w:basedOn w:val="779"/>
    <w:next w:val="779"/>
    <w:uiPriority w:val="99"/>
    <w:pPr>
      <w:ind w:left="420" w:right="420" w:firstLine="300"/>
      <w:jc w:val="both"/>
      <w:spacing w:before="240" w:after="240" w:line="360" w:lineRule="auto"/>
      <w:widowControl w:val="off"/>
    </w:pPr>
    <w:rPr>
      <w:rFonts w:ascii="Times New Roman" w:hAnsi="Times New Roman"/>
      <w:sz w:val="24"/>
      <w:szCs w:val="24"/>
      <w:shd w:val="clear" w:color="auto" w:fill="f5f3da"/>
    </w:rPr>
  </w:style>
  <w:style w:type="paragraph" w:styleId="831" w:customStyle="1">
    <w:name w:val="Внимание: криминал!!"/>
    <w:basedOn w:val="830"/>
    <w:next w:val="779"/>
    <w:uiPriority w:val="99"/>
  </w:style>
  <w:style w:type="paragraph" w:styleId="832" w:customStyle="1">
    <w:name w:val="Внимание: недобросовестность!"/>
    <w:basedOn w:val="830"/>
    <w:next w:val="779"/>
    <w:uiPriority w:val="99"/>
  </w:style>
  <w:style w:type="character" w:styleId="833" w:customStyle="1">
    <w:name w:val="Выделение для Базового Поиска"/>
    <w:uiPriority w:val="99"/>
    <w:rPr>
      <w:b/>
      <w:color w:val="0058A9"/>
    </w:rPr>
  </w:style>
  <w:style w:type="character" w:styleId="834" w:customStyle="1">
    <w:name w:val="Выделение для Базового Поиска (курсив)"/>
    <w:uiPriority w:val="99"/>
    <w:rPr>
      <w:b/>
      <w:i/>
      <w:color w:val="0058A9"/>
    </w:rPr>
  </w:style>
  <w:style w:type="paragraph" w:styleId="835" w:customStyle="1">
    <w:name w:val="Дочерний элемент списка"/>
    <w:basedOn w:val="779"/>
    <w:next w:val="779"/>
    <w:uiPriority w:val="99"/>
    <w:pPr>
      <w:jc w:val="both"/>
      <w:spacing w:after="0" w:line="360" w:lineRule="auto"/>
      <w:widowControl w:val="off"/>
    </w:pPr>
    <w:rPr>
      <w:rFonts w:ascii="Times New Roman" w:hAnsi="Times New Roman"/>
      <w:color w:val="868381"/>
      <w:sz w:val="20"/>
      <w:szCs w:val="20"/>
    </w:rPr>
  </w:style>
  <w:style w:type="paragraph" w:styleId="836" w:customStyle="1">
    <w:name w:val="Основное меню (преемственное)"/>
    <w:basedOn w:val="779"/>
    <w:next w:val="779"/>
    <w:uiPriority w:val="99"/>
    <w:pPr>
      <w:ind w:firstLine="720"/>
      <w:jc w:val="both"/>
      <w:spacing w:after="0" w:line="360" w:lineRule="auto"/>
      <w:widowControl w:val="off"/>
    </w:pPr>
    <w:rPr>
      <w:rFonts w:ascii="Verdana" w:hAnsi="Verdana" w:cs="Verdana"/>
    </w:rPr>
  </w:style>
  <w:style w:type="paragraph" w:styleId="837" w:customStyle="1">
    <w:name w:val="Заголовок1"/>
    <w:basedOn w:val="836"/>
    <w:next w:val="779"/>
    <w:uiPriority w:val="99"/>
    <w:rPr>
      <w:b/>
      <w:bCs/>
      <w:color w:val="0058A9"/>
      <w:shd w:val="clear" w:color="auto" w:fill="ece9d8"/>
    </w:rPr>
  </w:style>
  <w:style w:type="paragraph" w:styleId="838" w:customStyle="1">
    <w:name w:val="Заголовок группы контролов"/>
    <w:basedOn w:val="779"/>
    <w:next w:val="779"/>
    <w:uiPriority w:val="99"/>
    <w:pPr>
      <w:ind w:firstLine="720"/>
      <w:jc w:val="both"/>
      <w:spacing w:after="0" w:line="360" w:lineRule="auto"/>
      <w:widowControl w:val="off"/>
    </w:pPr>
    <w:rPr>
      <w:rFonts w:ascii="Times New Roman" w:hAnsi="Times New Roman"/>
      <w:b/>
      <w:bCs/>
      <w:color w:val="000000"/>
      <w:sz w:val="24"/>
      <w:szCs w:val="24"/>
    </w:rPr>
  </w:style>
  <w:style w:type="paragraph" w:styleId="839" w:customStyle="1">
    <w:name w:val="Заголовок для информации об изменениях"/>
    <w:basedOn w:val="780"/>
    <w:next w:val="779"/>
    <w:uiPriority w:val="99"/>
    <w:pPr>
      <w:jc w:val="center"/>
      <w:keepLines/>
      <w:spacing w:before="0" w:after="240" w:line="360" w:lineRule="auto"/>
      <w:outlineLvl w:val="9"/>
    </w:pPr>
    <w:rPr>
      <w:b w:val="0"/>
      <w:bCs w:val="0"/>
      <w:sz w:val="18"/>
      <w:szCs w:val="18"/>
      <w:shd w:val="clear" w:color="auto" w:fill="ffffff"/>
    </w:rPr>
  </w:style>
  <w:style w:type="paragraph" w:styleId="840" w:customStyle="1">
    <w:name w:val="Заголовок распахивающейся части диалога"/>
    <w:basedOn w:val="779"/>
    <w:next w:val="779"/>
    <w:uiPriority w:val="99"/>
    <w:pPr>
      <w:ind w:firstLine="720"/>
      <w:jc w:val="both"/>
      <w:spacing w:after="0" w:line="360" w:lineRule="auto"/>
      <w:widowControl w:val="off"/>
    </w:pPr>
    <w:rPr>
      <w:rFonts w:ascii="Times New Roman" w:hAnsi="Times New Roman"/>
      <w:i/>
      <w:iCs/>
      <w:color w:val="000080"/>
    </w:rPr>
  </w:style>
  <w:style w:type="character" w:styleId="841" w:customStyle="1">
    <w:name w:val="Заголовок своего сообщения"/>
    <w:uiPriority w:val="99"/>
    <w:rPr>
      <w:b/>
      <w:color w:val="26282F"/>
    </w:rPr>
  </w:style>
  <w:style w:type="paragraph" w:styleId="842" w:customStyle="1">
    <w:name w:val="Заголовок статьи"/>
    <w:basedOn w:val="779"/>
    <w:next w:val="779"/>
    <w:uiPriority w:val="99"/>
    <w:pPr>
      <w:ind w:left="1612" w:hanging="892"/>
      <w:jc w:val="both"/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character" w:styleId="843" w:customStyle="1">
    <w:name w:val="Заголовок чужого сообщения"/>
    <w:uiPriority w:val="99"/>
    <w:rPr>
      <w:b/>
      <w:color w:val="FF0000"/>
    </w:rPr>
  </w:style>
  <w:style w:type="paragraph" w:styleId="844" w:customStyle="1">
    <w:name w:val="Заголовок ЭР (левое окно)"/>
    <w:basedOn w:val="779"/>
    <w:next w:val="779"/>
    <w:uiPriority w:val="99"/>
    <w:pPr>
      <w:jc w:val="center"/>
      <w:spacing w:before="300" w:after="250" w:line="360" w:lineRule="auto"/>
      <w:widowControl w:val="off"/>
    </w:pPr>
    <w:rPr>
      <w:rFonts w:ascii="Times New Roman" w:hAnsi="Times New Roman"/>
      <w:b/>
      <w:bCs/>
      <w:color w:val="26282F"/>
      <w:sz w:val="26"/>
      <w:szCs w:val="26"/>
    </w:rPr>
  </w:style>
  <w:style w:type="paragraph" w:styleId="845" w:customStyle="1">
    <w:name w:val="Заголовок ЭР (правое окно)"/>
    <w:basedOn w:val="844"/>
    <w:next w:val="779"/>
    <w:uiPriority w:val="99"/>
    <w:pPr>
      <w:jc w:val="left"/>
      <w:spacing w:after="0"/>
    </w:pPr>
  </w:style>
  <w:style w:type="paragraph" w:styleId="846" w:customStyle="1">
    <w:name w:val="Интерактивный заголовок"/>
    <w:basedOn w:val="837"/>
    <w:next w:val="779"/>
    <w:uiPriority w:val="99"/>
    <w:rPr>
      <w:u w:val="single"/>
    </w:rPr>
  </w:style>
  <w:style w:type="paragraph" w:styleId="847" w:customStyle="1">
    <w:name w:val="Текст информации об изменениях"/>
    <w:basedOn w:val="779"/>
    <w:next w:val="779"/>
    <w:uiPriority w:val="99"/>
    <w:pPr>
      <w:ind w:firstLine="720"/>
      <w:jc w:val="both"/>
      <w:spacing w:after="0" w:line="360" w:lineRule="auto"/>
      <w:widowControl w:val="off"/>
    </w:pPr>
    <w:rPr>
      <w:rFonts w:ascii="Times New Roman" w:hAnsi="Times New Roman"/>
      <w:color w:val="353842"/>
      <w:sz w:val="18"/>
      <w:szCs w:val="18"/>
    </w:rPr>
  </w:style>
  <w:style w:type="paragraph" w:styleId="848" w:customStyle="1">
    <w:name w:val="Информация об изменениях"/>
    <w:basedOn w:val="847"/>
    <w:next w:val="779"/>
    <w:uiPriority w:val="99"/>
    <w:pPr>
      <w:ind w:left="360" w:right="360" w:firstLine="0"/>
      <w:spacing w:before="180"/>
    </w:pPr>
    <w:rPr>
      <w:shd w:val="clear" w:color="auto" w:fill="eaefed"/>
    </w:rPr>
  </w:style>
  <w:style w:type="paragraph" w:styleId="849" w:customStyle="1">
    <w:name w:val="Текст (справка)"/>
    <w:basedOn w:val="779"/>
    <w:next w:val="779"/>
    <w:uiPriority w:val="99"/>
    <w:pPr>
      <w:ind w:left="170" w:right="170"/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paragraph" w:styleId="850" w:customStyle="1">
    <w:name w:val="Комментарий"/>
    <w:basedOn w:val="849"/>
    <w:next w:val="779"/>
    <w:uiPriority w:val="99"/>
    <w:pPr>
      <w:ind w:right="0"/>
      <w:jc w:val="both"/>
      <w:spacing w:before="75"/>
    </w:pPr>
    <w:rPr>
      <w:color w:val="353842"/>
      <w:shd w:val="clear" w:color="auto" w:fill="f0f0f0"/>
    </w:rPr>
  </w:style>
  <w:style w:type="paragraph" w:styleId="851" w:customStyle="1">
    <w:name w:val="Информация об изменениях документа"/>
    <w:basedOn w:val="850"/>
    <w:next w:val="779"/>
    <w:uiPriority w:val="99"/>
    <w:rPr>
      <w:i/>
      <w:iCs/>
    </w:rPr>
  </w:style>
  <w:style w:type="paragraph" w:styleId="852" w:customStyle="1">
    <w:name w:val="Текст (лев. подпись)"/>
    <w:basedOn w:val="779"/>
    <w:next w:val="779"/>
    <w:uiPriority w:val="99"/>
    <w:pPr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paragraph" w:styleId="853" w:customStyle="1">
    <w:name w:val="Колонтитул (левый)"/>
    <w:basedOn w:val="852"/>
    <w:next w:val="779"/>
    <w:uiPriority w:val="99"/>
    <w:rPr>
      <w:sz w:val="14"/>
      <w:szCs w:val="14"/>
    </w:rPr>
  </w:style>
  <w:style w:type="paragraph" w:styleId="854" w:customStyle="1">
    <w:name w:val="Текст (прав. подпись)"/>
    <w:basedOn w:val="779"/>
    <w:next w:val="779"/>
    <w:uiPriority w:val="99"/>
    <w:pPr>
      <w:jc w:val="right"/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paragraph" w:styleId="855" w:customStyle="1">
    <w:name w:val="Колонтитул (правый)"/>
    <w:basedOn w:val="854"/>
    <w:next w:val="779"/>
    <w:uiPriority w:val="99"/>
    <w:rPr>
      <w:sz w:val="14"/>
      <w:szCs w:val="14"/>
    </w:rPr>
  </w:style>
  <w:style w:type="paragraph" w:styleId="856" w:customStyle="1">
    <w:name w:val="Комментарий пользователя"/>
    <w:basedOn w:val="850"/>
    <w:next w:val="779"/>
    <w:uiPriority w:val="99"/>
    <w:pPr>
      <w:jc w:val="left"/>
    </w:pPr>
    <w:rPr>
      <w:shd w:val="clear" w:color="auto" w:fill="ffdfe0"/>
    </w:rPr>
  </w:style>
  <w:style w:type="paragraph" w:styleId="857" w:customStyle="1">
    <w:name w:val="Куда обратиться?"/>
    <w:basedOn w:val="830"/>
    <w:next w:val="779"/>
    <w:uiPriority w:val="99"/>
  </w:style>
  <w:style w:type="paragraph" w:styleId="858" w:customStyle="1">
    <w:name w:val="Моноширинный"/>
    <w:basedOn w:val="779"/>
    <w:next w:val="779"/>
    <w:uiPriority w:val="99"/>
    <w:pPr>
      <w:spacing w:after="0" w:line="360" w:lineRule="auto"/>
      <w:widowControl w:val="off"/>
    </w:pPr>
    <w:rPr>
      <w:rFonts w:ascii="Courier New" w:hAnsi="Courier New" w:cs="Courier New"/>
      <w:sz w:val="24"/>
      <w:szCs w:val="24"/>
    </w:rPr>
  </w:style>
  <w:style w:type="character" w:styleId="859" w:customStyle="1">
    <w:name w:val="Найденные слова"/>
    <w:uiPriority w:val="99"/>
    <w:rPr>
      <w:b/>
      <w:color w:val="26282F"/>
      <w:shd w:val="clear" w:color="auto" w:fill="fff580"/>
    </w:rPr>
  </w:style>
  <w:style w:type="paragraph" w:styleId="860" w:customStyle="1">
    <w:name w:val="Напишите нам"/>
    <w:basedOn w:val="779"/>
    <w:next w:val="779"/>
    <w:uiPriority w:val="99"/>
    <w:pPr>
      <w:ind w:left="180" w:right="180"/>
      <w:jc w:val="both"/>
      <w:spacing w:before="90" w:after="90" w:line="360" w:lineRule="auto"/>
      <w:widowControl w:val="off"/>
    </w:pPr>
    <w:rPr>
      <w:rFonts w:ascii="Times New Roman" w:hAnsi="Times New Roman"/>
      <w:sz w:val="20"/>
      <w:szCs w:val="20"/>
      <w:shd w:val="clear" w:color="auto" w:fill="efffad"/>
    </w:rPr>
  </w:style>
  <w:style w:type="character" w:styleId="861" w:customStyle="1">
    <w:name w:val="Не вступил в силу"/>
    <w:uiPriority w:val="99"/>
    <w:rPr>
      <w:b/>
      <w:color w:val="000000"/>
      <w:shd w:val="clear" w:color="auto" w:fill="d8ede8"/>
    </w:rPr>
  </w:style>
  <w:style w:type="paragraph" w:styleId="862" w:customStyle="1">
    <w:name w:val="Необходимые документы"/>
    <w:basedOn w:val="830"/>
    <w:next w:val="779"/>
    <w:uiPriority w:val="99"/>
    <w:pPr>
      <w:ind w:firstLine="118"/>
    </w:pPr>
  </w:style>
  <w:style w:type="paragraph" w:styleId="863" w:customStyle="1">
    <w:name w:val="Нормальный (таблица)"/>
    <w:basedOn w:val="779"/>
    <w:next w:val="779"/>
    <w:uiPriority w:val="99"/>
    <w:pPr>
      <w:jc w:val="both"/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paragraph" w:styleId="864" w:customStyle="1">
    <w:name w:val="Таблицы (моноширинный)"/>
    <w:basedOn w:val="779"/>
    <w:next w:val="779"/>
    <w:uiPriority w:val="99"/>
    <w:pPr>
      <w:spacing w:after="0" w:line="360" w:lineRule="auto"/>
      <w:widowControl w:val="off"/>
    </w:pPr>
    <w:rPr>
      <w:rFonts w:ascii="Courier New" w:hAnsi="Courier New" w:cs="Courier New"/>
      <w:sz w:val="24"/>
      <w:szCs w:val="24"/>
    </w:rPr>
  </w:style>
  <w:style w:type="paragraph" w:styleId="865" w:customStyle="1">
    <w:name w:val="Оглавление"/>
    <w:basedOn w:val="864"/>
    <w:next w:val="779"/>
    <w:uiPriority w:val="99"/>
    <w:pPr>
      <w:ind w:left="140"/>
    </w:pPr>
  </w:style>
  <w:style w:type="character" w:styleId="866" w:customStyle="1">
    <w:name w:val="Опечатки"/>
    <w:uiPriority w:val="99"/>
    <w:rPr>
      <w:color w:val="FF0000"/>
    </w:rPr>
  </w:style>
  <w:style w:type="paragraph" w:styleId="867" w:customStyle="1">
    <w:name w:val="Переменная часть"/>
    <w:basedOn w:val="836"/>
    <w:next w:val="779"/>
    <w:uiPriority w:val="99"/>
    <w:rPr>
      <w:sz w:val="18"/>
      <w:szCs w:val="18"/>
    </w:rPr>
  </w:style>
  <w:style w:type="paragraph" w:styleId="868" w:customStyle="1">
    <w:name w:val="Подвал для информации об изменениях"/>
    <w:basedOn w:val="780"/>
    <w:next w:val="779"/>
    <w:uiPriority w:val="99"/>
    <w:pPr>
      <w:jc w:val="center"/>
      <w:keepLines/>
      <w:spacing w:before="480" w:after="240" w:line="360" w:lineRule="auto"/>
      <w:outlineLvl w:val="9"/>
    </w:pPr>
    <w:rPr>
      <w:b w:val="0"/>
      <w:bCs w:val="0"/>
      <w:sz w:val="18"/>
      <w:szCs w:val="18"/>
    </w:rPr>
  </w:style>
  <w:style w:type="paragraph" w:styleId="869" w:customStyle="1">
    <w:name w:val="Подзаголовок для информации об изменениях"/>
    <w:basedOn w:val="847"/>
    <w:next w:val="779"/>
    <w:uiPriority w:val="99"/>
    <w:rPr>
      <w:b/>
      <w:bCs/>
    </w:rPr>
  </w:style>
  <w:style w:type="paragraph" w:styleId="870" w:customStyle="1">
    <w:name w:val="Подчёркнуный текст"/>
    <w:basedOn w:val="779"/>
    <w:next w:val="779"/>
    <w:uiPriority w:val="99"/>
    <w:pPr>
      <w:ind w:firstLine="720"/>
      <w:jc w:val="both"/>
      <w:spacing w:after="0" w:line="360" w:lineRule="auto"/>
      <w:widowControl w:val="off"/>
      <w:pBdr>
        <w:bottom w:val="single" w:color="auto" w:sz="4" w:space="0"/>
      </w:pBdr>
    </w:pPr>
    <w:rPr>
      <w:rFonts w:ascii="Times New Roman" w:hAnsi="Times New Roman"/>
      <w:sz w:val="24"/>
      <w:szCs w:val="24"/>
    </w:rPr>
  </w:style>
  <w:style w:type="paragraph" w:styleId="871" w:customStyle="1">
    <w:name w:val="Постоянная часть"/>
    <w:basedOn w:val="836"/>
    <w:next w:val="779"/>
    <w:uiPriority w:val="99"/>
    <w:rPr>
      <w:sz w:val="20"/>
      <w:szCs w:val="20"/>
    </w:rPr>
  </w:style>
  <w:style w:type="paragraph" w:styleId="872" w:customStyle="1">
    <w:name w:val="Прижатый влево"/>
    <w:basedOn w:val="779"/>
    <w:next w:val="779"/>
    <w:uiPriority w:val="99"/>
    <w:pPr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paragraph" w:styleId="873" w:customStyle="1">
    <w:name w:val="Пример."/>
    <w:basedOn w:val="830"/>
    <w:next w:val="779"/>
    <w:uiPriority w:val="99"/>
  </w:style>
  <w:style w:type="paragraph" w:styleId="874" w:customStyle="1">
    <w:name w:val="Примечание."/>
    <w:basedOn w:val="830"/>
    <w:next w:val="779"/>
    <w:uiPriority w:val="99"/>
  </w:style>
  <w:style w:type="character" w:styleId="875" w:customStyle="1">
    <w:name w:val="Продолжение ссылки"/>
    <w:uiPriority w:val="99"/>
  </w:style>
  <w:style w:type="paragraph" w:styleId="876" w:customStyle="1">
    <w:name w:val="Словарная статья"/>
    <w:basedOn w:val="779"/>
    <w:next w:val="779"/>
    <w:uiPriority w:val="99"/>
    <w:pPr>
      <w:ind w:right="118"/>
      <w:jc w:val="both"/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character" w:styleId="877" w:customStyle="1">
    <w:name w:val="Сравнение редакций"/>
    <w:uiPriority w:val="99"/>
    <w:rPr>
      <w:b/>
      <w:color w:val="26282F"/>
    </w:rPr>
  </w:style>
  <w:style w:type="character" w:styleId="878" w:customStyle="1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styleId="879" w:customStyle="1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styleId="880" w:customStyle="1">
    <w:name w:val="Ссылка на официальную публикацию"/>
    <w:basedOn w:val="779"/>
    <w:next w:val="779"/>
    <w:uiPriority w:val="99"/>
    <w:pPr>
      <w:ind w:firstLine="720"/>
      <w:jc w:val="both"/>
      <w:spacing w:after="0" w:line="360" w:lineRule="auto"/>
      <w:widowControl w:val="off"/>
    </w:pPr>
    <w:rPr>
      <w:rFonts w:ascii="Times New Roman" w:hAnsi="Times New Roman"/>
      <w:sz w:val="24"/>
      <w:szCs w:val="24"/>
    </w:rPr>
  </w:style>
  <w:style w:type="character" w:styleId="881" w:customStyle="1">
    <w:name w:val="Ссылка на утративший силу документ"/>
    <w:uiPriority w:val="99"/>
    <w:rPr>
      <w:b/>
      <w:color w:val="749232"/>
    </w:rPr>
  </w:style>
  <w:style w:type="paragraph" w:styleId="882" w:customStyle="1">
    <w:name w:val="Текст в таблице"/>
    <w:basedOn w:val="863"/>
    <w:next w:val="779"/>
    <w:uiPriority w:val="99"/>
    <w:pPr>
      <w:ind w:firstLine="500"/>
    </w:pPr>
  </w:style>
  <w:style w:type="paragraph" w:styleId="883" w:customStyle="1">
    <w:name w:val="Текст ЭР (см. также)"/>
    <w:basedOn w:val="779"/>
    <w:next w:val="779"/>
    <w:uiPriority w:val="99"/>
    <w:pPr>
      <w:spacing w:before="200" w:after="0" w:line="360" w:lineRule="auto"/>
      <w:widowControl w:val="off"/>
    </w:pPr>
    <w:rPr>
      <w:rFonts w:ascii="Times New Roman" w:hAnsi="Times New Roman"/>
      <w:sz w:val="20"/>
      <w:szCs w:val="20"/>
    </w:rPr>
  </w:style>
  <w:style w:type="paragraph" w:styleId="884" w:customStyle="1">
    <w:name w:val="Технический комментарий"/>
    <w:basedOn w:val="779"/>
    <w:next w:val="779"/>
    <w:uiPriority w:val="99"/>
    <w:pPr>
      <w:spacing w:after="0" w:line="360" w:lineRule="auto"/>
      <w:widowControl w:val="off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styleId="885" w:customStyle="1">
    <w:name w:val="Утратил силу"/>
    <w:uiPriority w:val="99"/>
    <w:rPr>
      <w:b/>
      <w:strike/>
      <w:color w:val="666600"/>
    </w:rPr>
  </w:style>
  <w:style w:type="paragraph" w:styleId="886" w:customStyle="1">
    <w:name w:val="Формула"/>
    <w:basedOn w:val="779"/>
    <w:next w:val="779"/>
    <w:uiPriority w:val="99"/>
    <w:pPr>
      <w:ind w:left="420" w:right="420" w:firstLine="300"/>
      <w:jc w:val="both"/>
      <w:spacing w:before="240" w:after="240" w:line="360" w:lineRule="auto"/>
      <w:widowControl w:val="off"/>
    </w:pPr>
    <w:rPr>
      <w:rFonts w:ascii="Times New Roman" w:hAnsi="Times New Roman"/>
      <w:sz w:val="24"/>
      <w:szCs w:val="24"/>
      <w:shd w:val="clear" w:color="auto" w:fill="f5f3da"/>
    </w:rPr>
  </w:style>
  <w:style w:type="paragraph" w:styleId="887" w:customStyle="1">
    <w:name w:val="Центрированный (таблица)"/>
    <w:basedOn w:val="863"/>
    <w:next w:val="779"/>
    <w:uiPriority w:val="99"/>
    <w:pPr>
      <w:jc w:val="center"/>
    </w:pPr>
  </w:style>
  <w:style w:type="paragraph" w:styleId="888" w:customStyle="1">
    <w:name w:val="ЭР-содержание (правое окно)"/>
    <w:basedOn w:val="779"/>
    <w:next w:val="779"/>
    <w:uiPriority w:val="99"/>
    <w:pPr>
      <w:spacing w:before="300" w:after="0" w:line="360" w:lineRule="auto"/>
      <w:widowControl w:val="off"/>
    </w:pPr>
    <w:rPr>
      <w:rFonts w:ascii="Times New Roman" w:hAnsi="Times New Roman"/>
      <w:sz w:val="24"/>
      <w:szCs w:val="24"/>
    </w:rPr>
  </w:style>
  <w:style w:type="paragraph" w:styleId="889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890">
    <w:name w:val="annotation reference"/>
    <w:uiPriority w:val="99"/>
    <w:unhideWhenUsed/>
    <w:rPr>
      <w:rFonts w:cs="Times New Roman"/>
      <w:sz w:val="16"/>
    </w:rPr>
  </w:style>
  <w:style w:type="paragraph" w:styleId="891">
    <w:name w:val="toc 4"/>
    <w:basedOn w:val="779"/>
    <w:next w:val="779"/>
    <w:pPr>
      <w:ind w:left="720"/>
      <w:spacing w:after="0" w:line="240" w:lineRule="auto"/>
    </w:pPr>
    <w:rPr>
      <w:rFonts w:cs="Calibri"/>
      <w:sz w:val="20"/>
      <w:szCs w:val="20"/>
    </w:rPr>
  </w:style>
  <w:style w:type="paragraph" w:styleId="892">
    <w:name w:val="toc 5"/>
    <w:basedOn w:val="779"/>
    <w:next w:val="779"/>
    <w:pPr>
      <w:ind w:left="960"/>
      <w:spacing w:after="0" w:line="240" w:lineRule="auto"/>
    </w:pPr>
    <w:rPr>
      <w:rFonts w:cs="Calibri"/>
      <w:sz w:val="20"/>
      <w:szCs w:val="20"/>
    </w:rPr>
  </w:style>
  <w:style w:type="paragraph" w:styleId="893">
    <w:name w:val="toc 6"/>
    <w:basedOn w:val="779"/>
    <w:next w:val="779"/>
    <w:pPr>
      <w:ind w:left="1200"/>
      <w:spacing w:after="0" w:line="240" w:lineRule="auto"/>
    </w:pPr>
    <w:rPr>
      <w:rFonts w:cs="Calibri"/>
      <w:sz w:val="20"/>
      <w:szCs w:val="20"/>
    </w:rPr>
  </w:style>
  <w:style w:type="paragraph" w:styleId="894">
    <w:name w:val="toc 7"/>
    <w:basedOn w:val="779"/>
    <w:next w:val="779"/>
    <w:pPr>
      <w:ind w:left="1440"/>
      <w:spacing w:after="0" w:line="240" w:lineRule="auto"/>
    </w:pPr>
    <w:rPr>
      <w:rFonts w:cs="Calibri"/>
      <w:sz w:val="20"/>
      <w:szCs w:val="20"/>
    </w:rPr>
  </w:style>
  <w:style w:type="paragraph" w:styleId="895">
    <w:name w:val="toc 8"/>
    <w:basedOn w:val="779"/>
    <w:next w:val="779"/>
    <w:pPr>
      <w:ind w:left="1680"/>
      <w:spacing w:after="0" w:line="240" w:lineRule="auto"/>
    </w:pPr>
    <w:rPr>
      <w:rFonts w:cs="Calibri"/>
      <w:sz w:val="20"/>
      <w:szCs w:val="20"/>
    </w:rPr>
  </w:style>
  <w:style w:type="paragraph" w:styleId="896">
    <w:name w:val="toc 9"/>
    <w:basedOn w:val="779"/>
    <w:next w:val="779"/>
    <w:pPr>
      <w:ind w:left="1920"/>
      <w:spacing w:after="0" w:line="240" w:lineRule="auto"/>
    </w:pPr>
    <w:rPr>
      <w:rFonts w:cs="Calibri"/>
      <w:sz w:val="20"/>
      <w:szCs w:val="20"/>
    </w:rPr>
  </w:style>
  <w:style w:type="paragraph" w:styleId="897" w:customStyle="1">
    <w:name w:val="s_1"/>
    <w:basedOn w:val="7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898">
    <w:name w:val="Table Grid"/>
    <w:basedOn w:val="785"/>
    <w:uiPriority w:val="39"/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9">
    <w:name w:val="endnote text"/>
    <w:basedOn w:val="779"/>
    <w:link w:val="90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00" w:customStyle="1">
    <w:name w:val="Текст концевой сноски Знак"/>
    <w:link w:val="899"/>
    <w:uiPriority w:val="99"/>
    <w:semiHidden/>
    <w:rPr>
      <w:rFonts w:cs="Times New Roman"/>
      <w:sz w:val="20"/>
      <w:szCs w:val="20"/>
    </w:rPr>
  </w:style>
  <w:style w:type="character" w:styleId="901">
    <w:name w:val="endnote reference"/>
    <w:uiPriority w:val="99"/>
    <w:semiHidden/>
    <w:unhideWhenUsed/>
    <w:rPr>
      <w:rFonts w:cs="Times New Roman"/>
      <w:vertAlign w:val="superscript"/>
    </w:rPr>
  </w:style>
  <w:style w:type="character" w:styleId="902" w:customStyle="1">
    <w:name w:val="Абзац списка Знак"/>
    <w:link w:val="809"/>
    <w:uiPriority w:val="34"/>
    <w:qFormat/>
    <w:rPr>
      <w:rFonts w:ascii="Times New Roman" w:hAnsi="Times New Roman"/>
      <w:sz w:val="24"/>
      <w:szCs w:val="24"/>
    </w:rPr>
  </w:style>
  <w:style w:type="character" w:styleId="903" w:customStyle="1">
    <w:name w:val="Обычный (Интернет) Знак"/>
    <w:link w:val="799"/>
    <w:rPr>
      <w:rFonts w:ascii="Times New Roman" w:hAnsi="Times New Roman"/>
      <w:sz w:val="24"/>
      <w:szCs w:val="24"/>
      <w:lang w:val="en-US" w:eastAsia="nl-NL"/>
    </w:rPr>
  </w:style>
  <w:style w:type="character" w:styleId="904">
    <w:name w:val="Strong"/>
    <w:uiPriority w:val="22"/>
    <w:qFormat/>
    <w:rPr>
      <w:b/>
      <w:bCs/>
    </w:rPr>
  </w:style>
  <w:style w:type="table" w:styleId="905" w:customStyle="1">
    <w:name w:val="Table Normal"/>
    <w:uiPriority w:val="2"/>
    <w:semiHidden/>
    <w:unhideWhenUsed/>
    <w:qFormat/>
    <w:pPr>
      <w:widowControl w:val="off"/>
    </w:pPr>
    <w:rPr>
      <w:rFonts w:eastAsia="Calibri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06" w:customStyle="1">
    <w:name w:val="Table Paragraph"/>
    <w:basedOn w:val="779"/>
    <w:uiPriority w:val="1"/>
    <w:qFormat/>
    <w:pPr>
      <w:ind w:left="9"/>
      <w:spacing w:after="0" w:line="240" w:lineRule="auto"/>
      <w:widowControl w:val="off"/>
    </w:pPr>
    <w:rPr>
      <w:rFonts w:ascii="Times New Roman" w:hAnsi="Times New Roman"/>
      <w:lang w:eastAsia="en-US"/>
    </w:rPr>
  </w:style>
  <w:style w:type="character" w:styleId="907">
    <w:name w:val="FollowedHyperlink"/>
    <w:uiPriority w:val="99"/>
    <w:unhideWhenUsed/>
    <w:rPr>
      <w:color w:val="0000FF"/>
      <w:u w:val="single"/>
    </w:rPr>
  </w:style>
  <w:style w:type="character" w:styleId="908">
    <w:name w:val="Subtle Emphasis"/>
    <w:uiPriority w:val="19"/>
    <w:qFormat/>
    <w:rPr>
      <w:i/>
      <w:iCs/>
      <w:color w:val="404040"/>
    </w:rPr>
  </w:style>
  <w:style w:type="paragraph" w:styleId="909">
    <w:name w:val="Subtitle"/>
    <w:basedOn w:val="779"/>
    <w:next w:val="779"/>
    <w:link w:val="910"/>
    <w:uiPriority w:val="11"/>
    <w:qFormat/>
    <w:pPr>
      <w:jc w:val="center"/>
      <w:spacing w:after="60"/>
      <w:outlineLvl w:val="1"/>
    </w:pPr>
    <w:rPr>
      <w:rFonts w:ascii="Calibri Light" w:hAnsi="Calibri Light"/>
      <w:sz w:val="24"/>
      <w:szCs w:val="24"/>
    </w:rPr>
  </w:style>
  <w:style w:type="character" w:styleId="910" w:customStyle="1">
    <w:name w:val="Подзаголовок Знак"/>
    <w:link w:val="909"/>
    <w:uiPriority w:val="11"/>
    <w:rPr>
      <w:rFonts w:ascii="Calibri Light" w:hAnsi="Calibri Light" w:cs="Times New Roman" w:eastAsia="Times New Roman"/>
      <w:sz w:val="24"/>
      <w:szCs w:val="24"/>
    </w:rPr>
  </w:style>
  <w:style w:type="paragraph" w:styleId="911">
    <w:name w:val="TOC Heading"/>
    <w:basedOn w:val="780"/>
    <w:next w:val="779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table" w:styleId="912" w:customStyle="1">
    <w:name w:val="Таблица простая 31"/>
    <w:basedOn w:val="785"/>
    <w:uiPriority w:val="43"/>
    <w:tblPr>
      <w:tblStyleRowBandSize w:val="1"/>
      <w:tblStyleColBandSize w:val="1"/>
    </w:tblPr>
    <w:tblStylePr w:type="band1Horz">
      <w:tcPr>
        <w:shd w:val="clear" w:color="auto" w:fill="f2f2f2"/>
      </w:tcPr>
    </w:tblStylePr>
    <w:tblStylePr w:type="band1Vert">
      <w:tcPr>
        <w:shd w:val="clear" w:color="auto" w:fill="f2f2f2"/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one" w:color="000000" w:sz="4" w:space="0"/>
        </w:tcBorders>
      </w:tcPr>
    </w:tblStylePr>
    <w:tblStylePr w:type="lastRow">
      <w:rPr>
        <w:b/>
        <w:bCs/>
        <w:caps/>
      </w:rPr>
      <w:tcPr>
        <w:tcBorders>
          <w:top w:val="none" w:color="000000" w:sz="4" w:space="0"/>
        </w:tcBorders>
      </w:tcPr>
    </w:tblStylePr>
    <w:tblStylePr w:type="nwCell">
      <w:tcPr>
        <w:tcBorders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</w:tcBorders>
      </w:tcPr>
    </w:tblStylePr>
  </w:style>
  <w:style w:type="character" w:styleId="913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914">
    <w:name w:val="Title"/>
    <w:basedOn w:val="779"/>
    <w:next w:val="779"/>
    <w:link w:val="915"/>
    <w:uiPriority w:val="10"/>
    <w:qFormat/>
    <w:pPr>
      <w:ind w:firstLine="709"/>
      <w:spacing w:after="120"/>
      <w:outlineLvl w:val="0"/>
    </w:pPr>
    <w:rPr>
      <w:rFonts w:ascii="Times New Roman" w:hAnsi="Times New Roman"/>
      <w:sz w:val="24"/>
      <w:szCs w:val="24"/>
    </w:rPr>
  </w:style>
  <w:style w:type="character" w:styleId="915" w:customStyle="1">
    <w:name w:val="Заголовок Знак"/>
    <w:link w:val="914"/>
    <w:uiPriority w:val="10"/>
    <w:rPr>
      <w:rFonts w:ascii="Times New Roman" w:hAnsi="Times New Roman"/>
      <w:sz w:val="24"/>
      <w:szCs w:val="24"/>
    </w:rPr>
  </w:style>
  <w:style w:type="table" w:styleId="916" w:customStyle="1">
    <w:name w:val="Сетка таблицы1"/>
    <w:basedOn w:val="785"/>
    <w:next w:val="898"/>
    <w:uiPriority w:val="39"/>
    <w:rPr>
      <w:rFonts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7" w:customStyle="1">
    <w:name w:val="Сетка таблицы2"/>
    <w:basedOn w:val="785"/>
    <w:next w:val="898"/>
    <w:uiPriority w:val="39"/>
    <w:rPr>
      <w:rFonts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таблСлева12"/>
    <w:basedOn w:val="779"/>
    <w:uiPriority w:val="3"/>
    <w:qFormat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919" w:customStyle="1">
    <w:name w:val="ConsPlusTitle"/>
    <w:uiPriority w:val="99"/>
    <w:pPr>
      <w:widowControl w:val="off"/>
    </w:pPr>
    <w:rPr>
      <w:rFonts w:ascii="Arial" w:hAnsi="Arial" w:cs="Arial"/>
      <w:b/>
      <w:bCs/>
      <w:sz w:val="24"/>
      <w:szCs w:val="24"/>
    </w:rPr>
  </w:style>
  <w:style w:type="character" w:styleId="920">
    <w:name w:val="line number"/>
    <w:basedOn w:val="784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8A40D5FA-BC60-4F8F-BE90-EEB3F089C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>Hewlett-Packard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Мартынова Т.Ю. Мартынова Т.Ю.</cp:lastModifiedBy>
  <cp:revision>100</cp:revision>
  <dcterms:created xsi:type="dcterms:W3CDTF">2022-05-16T09:37:00Z</dcterms:created>
  <dcterms:modified xsi:type="dcterms:W3CDTF">2022-06-17T15:00:46Z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