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67BF1" w:rsidRDefault="00A67BF1">
      <w:pPr>
        <w:widowControl w:val="0"/>
        <w:pBdr>
          <w:top w:val="nil"/>
          <w:left w:val="nil"/>
          <w:bottom w:val="nil"/>
          <w:right w:val="nil"/>
          <w:between w:val="nil"/>
        </w:pBdr>
        <w:spacing w:after="0"/>
      </w:pPr>
    </w:p>
    <w:p w14:paraId="00000003" w14:textId="77777777" w:rsidR="00A67BF1" w:rsidRDefault="00F53B76">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1B964BE" w:rsidR="00A67BF1" w:rsidRDefault="00F53B76">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ln22iyz9l6p"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5F2B94" w:rsidRPr="005F2B94">
        <w:rPr>
          <w:rFonts w:ascii="Times New Roman" w:eastAsia="Times New Roman" w:hAnsi="Times New Roman" w:cs="Times New Roman"/>
          <w:b/>
          <w:sz w:val="24"/>
          <w:szCs w:val="24"/>
        </w:rPr>
        <w:t>09.02.11 Разработка и управление программным обеспечением</w:t>
      </w:r>
    </w:p>
    <w:p w14:paraId="00000005" w14:textId="77777777" w:rsidR="00A67BF1" w:rsidRDefault="00A67BF1">
      <w:pPr>
        <w:keepNext/>
        <w:pBdr>
          <w:top w:val="nil"/>
          <w:left w:val="nil"/>
          <w:bottom w:val="nil"/>
          <w:right w:val="nil"/>
          <w:between w:val="nil"/>
        </w:pBdr>
        <w:jc w:val="right"/>
        <w:rPr>
          <w:rFonts w:ascii="Times New Roman" w:eastAsia="Times New Roman" w:hAnsi="Times New Roman" w:cs="Times New Roman"/>
          <w:b/>
          <w:sz w:val="24"/>
          <w:szCs w:val="24"/>
        </w:rPr>
      </w:pPr>
      <w:bookmarkStart w:id="2" w:name="_heading=h.dmgqps7vbvpn" w:colFirst="0" w:colLast="0"/>
      <w:bookmarkEnd w:id="2"/>
    </w:p>
    <w:p w14:paraId="00000006" w14:textId="77777777" w:rsidR="00A67BF1" w:rsidRDefault="00A67BF1">
      <w:pPr>
        <w:spacing w:after="384" w:line="265" w:lineRule="auto"/>
        <w:ind w:left="276" w:right="288" w:hanging="10"/>
        <w:jc w:val="right"/>
        <w:rPr>
          <w:rFonts w:ascii="Times New Roman" w:eastAsia="Times New Roman" w:hAnsi="Times New Roman" w:cs="Times New Roman"/>
          <w:color w:val="000000"/>
          <w:sz w:val="24"/>
          <w:szCs w:val="24"/>
        </w:rPr>
      </w:pPr>
    </w:p>
    <w:p w14:paraId="00000007" w14:textId="77777777" w:rsidR="00A67BF1" w:rsidRDefault="00A67BF1">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A67BF1" w:rsidRDefault="00A67BF1">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A67BF1" w:rsidRDefault="00F53B76">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A"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0B" w14:textId="77777777" w:rsidR="00A67BF1" w:rsidRDefault="00F53B76">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09.00.00 Информатика и вычислительная техника, </w:t>
      </w:r>
      <w:r>
        <w:rPr>
          <w:rFonts w:ascii="Times New Roman" w:eastAsia="Times New Roman" w:hAnsi="Times New Roman" w:cs="Times New Roman"/>
          <w:sz w:val="24"/>
          <w:szCs w:val="24"/>
        </w:rPr>
        <w:br/>
        <w:t xml:space="preserve">одобренной ФУМО Протоколом от 14.08.2023 № 87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C" w14:textId="77777777" w:rsidR="00A67BF1" w:rsidRDefault="00A67BF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p>
    <w:p w14:paraId="0000000D" w14:textId="77777777" w:rsidR="00A67BF1" w:rsidRDefault="00A67BF1">
      <w:pPr>
        <w:spacing w:after="5" w:line="265" w:lineRule="auto"/>
        <w:ind w:left="154" w:right="173" w:hanging="10"/>
        <w:jc w:val="center"/>
        <w:rPr>
          <w:rFonts w:ascii="Times New Roman" w:eastAsia="Times New Roman" w:hAnsi="Times New Roman" w:cs="Times New Roman"/>
          <w:b/>
          <w:i/>
          <w:color w:val="FF0000"/>
          <w:sz w:val="24"/>
          <w:szCs w:val="24"/>
        </w:rPr>
      </w:pPr>
    </w:p>
    <w:p w14:paraId="0000000E"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0F"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0"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A67BF1" w:rsidRDefault="00A67BF1">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A67BF1" w:rsidRDefault="00A67BF1">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A67BF1" w:rsidRDefault="00A67BF1">
      <w:pPr>
        <w:spacing w:after="5" w:line="265" w:lineRule="auto"/>
        <w:ind w:right="173"/>
        <w:rPr>
          <w:rFonts w:ascii="Times New Roman" w:eastAsia="Times New Roman" w:hAnsi="Times New Roman" w:cs="Times New Roman"/>
          <w:b/>
          <w:sz w:val="24"/>
          <w:szCs w:val="24"/>
        </w:rPr>
      </w:pPr>
    </w:p>
    <w:p w14:paraId="0000001E" w14:textId="77777777" w:rsidR="00A67BF1" w:rsidRDefault="00A67BF1">
      <w:pPr>
        <w:spacing w:after="5" w:line="265" w:lineRule="auto"/>
        <w:ind w:right="173"/>
        <w:rPr>
          <w:rFonts w:ascii="Times New Roman" w:eastAsia="Times New Roman" w:hAnsi="Times New Roman" w:cs="Times New Roman"/>
          <w:b/>
          <w:sz w:val="24"/>
          <w:szCs w:val="24"/>
        </w:rPr>
      </w:pPr>
    </w:p>
    <w:p w14:paraId="0000001F"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21" w14:textId="77777777" w:rsidR="00A67BF1" w:rsidRDefault="00A67BF1">
      <w:pPr>
        <w:spacing w:after="5" w:line="265" w:lineRule="auto"/>
        <w:ind w:left="154" w:right="173" w:hanging="10"/>
        <w:jc w:val="center"/>
        <w:rPr>
          <w:rFonts w:ascii="Times New Roman" w:eastAsia="Times New Roman" w:hAnsi="Times New Roman" w:cs="Times New Roman"/>
          <w:b/>
          <w:color w:val="000000"/>
          <w:sz w:val="24"/>
          <w:szCs w:val="24"/>
        </w:rPr>
      </w:pPr>
    </w:p>
    <w:p w14:paraId="00000022" w14:textId="77777777" w:rsidR="00A67BF1" w:rsidRDefault="00A67BF1">
      <w:pPr>
        <w:spacing w:after="56" w:line="265" w:lineRule="auto"/>
        <w:ind w:left="276" w:right="302" w:hanging="10"/>
        <w:jc w:val="center"/>
        <w:rPr>
          <w:rFonts w:ascii="Times New Roman" w:eastAsia="Times New Roman" w:hAnsi="Times New Roman" w:cs="Times New Roman"/>
          <w:color w:val="000000"/>
          <w:sz w:val="24"/>
          <w:szCs w:val="24"/>
        </w:rPr>
      </w:pPr>
    </w:p>
    <w:p w14:paraId="00000023" w14:textId="77777777" w:rsidR="00A67BF1" w:rsidRDefault="00A67BF1">
      <w:pPr>
        <w:spacing w:after="56" w:line="265" w:lineRule="auto"/>
        <w:ind w:right="302"/>
        <w:rPr>
          <w:rFonts w:ascii="Times New Roman" w:eastAsia="Times New Roman" w:hAnsi="Times New Roman" w:cs="Times New Roman"/>
          <w:color w:val="000000"/>
          <w:sz w:val="24"/>
          <w:szCs w:val="24"/>
        </w:rPr>
      </w:pPr>
    </w:p>
    <w:p w14:paraId="00000024" w14:textId="3B881F6B" w:rsidR="00A67BF1" w:rsidRDefault="00F53B76">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w:t>
      </w:r>
      <w:r w:rsidR="005F2B94">
        <w:rPr>
          <w:rFonts w:ascii="Times New Roman" w:eastAsia="Times New Roman" w:hAnsi="Times New Roman" w:cs="Times New Roman"/>
          <w:b/>
          <w:sz w:val="24"/>
          <w:szCs w:val="24"/>
        </w:rPr>
        <w:t>5</w:t>
      </w:r>
      <w:r>
        <w:rPr>
          <w:rFonts w:ascii="Times New Roman" w:eastAsia="Times New Roman" w:hAnsi="Times New Roman" w:cs="Times New Roman"/>
          <w:b/>
          <w:color w:val="000000"/>
          <w:sz w:val="24"/>
          <w:szCs w:val="24"/>
        </w:rPr>
        <w:t xml:space="preserve"> г.</w:t>
      </w:r>
    </w:p>
    <w:sectPr w:rsidR="00A67BF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CCC85" w14:textId="77777777" w:rsidR="0085447D" w:rsidRDefault="00F53B76">
      <w:pPr>
        <w:spacing w:after="0" w:line="240" w:lineRule="auto"/>
      </w:pPr>
      <w:r>
        <w:separator/>
      </w:r>
    </w:p>
  </w:endnote>
  <w:endnote w:type="continuationSeparator" w:id="0">
    <w:p w14:paraId="1113CE6F" w14:textId="77777777" w:rsidR="0085447D" w:rsidRDefault="00F5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A67BF1" w:rsidRDefault="00F53B7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F2B94">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A" w14:textId="77777777" w:rsidR="00A67BF1" w:rsidRDefault="00A67BF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B" w14:textId="77777777" w:rsidR="00A67BF1" w:rsidRDefault="00A67B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A67BF1" w:rsidRDefault="00A67BF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1E40" w14:textId="77777777" w:rsidR="0085447D" w:rsidRDefault="00F53B76">
      <w:pPr>
        <w:spacing w:after="0" w:line="240" w:lineRule="auto"/>
      </w:pPr>
      <w:r>
        <w:separator/>
      </w:r>
    </w:p>
  </w:footnote>
  <w:footnote w:type="continuationSeparator" w:id="0">
    <w:p w14:paraId="5BCE2972" w14:textId="77777777" w:rsidR="0085447D" w:rsidRDefault="00F5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6A723F9C" w:rsidR="00A67BF1" w:rsidRDefault="00F53B76">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7" w14:textId="77777777" w:rsidR="00A67BF1" w:rsidRDefault="00A67BF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F1"/>
    <w:rsid w:val="005F2B94"/>
    <w:rsid w:val="0085447D"/>
    <w:rsid w:val="00A67BF1"/>
    <w:rsid w:val="00C32E5D"/>
    <w:rsid w:val="00D7741D"/>
    <w:rsid w:val="00F53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879E3"/>
  <w15:docId w15:val="{7B16AEBF-12F5-479F-B91D-5212E382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 w:type="table" w:customStyle="1" w:styleId="affffffff5">
    <w:basedOn w:val="TableNormal5"/>
    <w:tblPr>
      <w:tblStyleRowBandSize w:val="1"/>
      <w:tblStyleColBandSize w:val="1"/>
      <w:tblCellMar>
        <w:left w:w="115" w:type="dxa"/>
        <w:right w:w="115" w:type="dxa"/>
      </w:tblCellMar>
    </w:tblPr>
  </w:style>
  <w:style w:type="table" w:customStyle="1" w:styleId="affffffff6">
    <w:basedOn w:val="TableNormal5"/>
    <w:tblPr>
      <w:tblStyleRowBandSize w:val="1"/>
      <w:tblStyleColBandSize w:val="1"/>
      <w:tblCellMar>
        <w:left w:w="115" w:type="dxa"/>
        <w:right w:w="115" w:type="dxa"/>
      </w:tblCellMar>
    </w:tblPr>
  </w:style>
  <w:style w:type="table" w:customStyle="1" w:styleId="affffffff7">
    <w:basedOn w:val="TableNormal5"/>
    <w:tblPr>
      <w:tblStyleRowBandSize w:val="1"/>
      <w:tblStyleColBandSize w:val="1"/>
      <w:tblCellMar>
        <w:left w:w="115" w:type="dxa"/>
        <w:right w:w="115" w:type="dxa"/>
      </w:tblCellMar>
    </w:tblPr>
  </w:style>
  <w:style w:type="table" w:customStyle="1" w:styleId="affffffff8">
    <w:basedOn w:val="TableNormal5"/>
    <w:tblPr>
      <w:tblStyleRowBandSize w:val="1"/>
      <w:tblStyleColBandSize w:val="1"/>
      <w:tblCellMar>
        <w:left w:w="115" w:type="dxa"/>
        <w:right w:w="115" w:type="dxa"/>
      </w:tblCellMar>
    </w:tblPr>
  </w:style>
  <w:style w:type="table" w:customStyle="1" w:styleId="affffffff9">
    <w:basedOn w:val="TableNormal5"/>
    <w:tblPr>
      <w:tblStyleRowBandSize w:val="1"/>
      <w:tblStyleColBandSize w:val="1"/>
      <w:tblCellMar>
        <w:left w:w="115" w:type="dxa"/>
        <w:right w:w="115" w:type="dxa"/>
      </w:tblCellMar>
    </w:tblPr>
  </w:style>
  <w:style w:type="table" w:customStyle="1" w:styleId="affffffffa">
    <w:basedOn w:val="TableNormal5"/>
    <w:tblPr>
      <w:tblStyleRowBandSize w:val="1"/>
      <w:tblStyleColBandSize w:val="1"/>
      <w:tblCellMar>
        <w:left w:w="115" w:type="dxa"/>
        <w:right w:w="115" w:type="dxa"/>
      </w:tblCellMar>
    </w:tblPr>
  </w:style>
  <w:style w:type="table" w:customStyle="1" w:styleId="affffffffb">
    <w:basedOn w:val="TableNormal5"/>
    <w:tblPr>
      <w:tblStyleRowBandSize w:val="1"/>
      <w:tblStyleColBandSize w:val="1"/>
      <w:tblCellMar>
        <w:left w:w="115" w:type="dxa"/>
        <w:right w:w="115" w:type="dxa"/>
      </w:tblCellMar>
    </w:tblPr>
  </w:style>
  <w:style w:type="table" w:customStyle="1" w:styleId="affffffffc">
    <w:basedOn w:val="TableNormal5"/>
    <w:tblPr>
      <w:tblStyleRowBandSize w:val="1"/>
      <w:tblStyleColBandSize w:val="1"/>
      <w:tblCellMar>
        <w:left w:w="115" w:type="dxa"/>
        <w:right w:w="115" w:type="dxa"/>
      </w:tblCellMar>
    </w:tblPr>
  </w:style>
  <w:style w:type="table" w:customStyle="1" w:styleId="affffffffd">
    <w:basedOn w:val="TableNormal5"/>
    <w:tblPr>
      <w:tblStyleRowBandSize w:val="1"/>
      <w:tblStyleColBandSize w:val="1"/>
      <w:tblCellMar>
        <w:left w:w="115" w:type="dxa"/>
        <w:right w:w="115" w:type="dxa"/>
      </w:tblCellMar>
    </w:tblPr>
  </w:style>
  <w:style w:type="table" w:customStyle="1" w:styleId="affffffffe">
    <w:basedOn w:val="TableNormal5"/>
    <w:tblPr>
      <w:tblStyleRowBandSize w:val="1"/>
      <w:tblStyleColBandSize w:val="1"/>
      <w:tblCellMar>
        <w:left w:w="115" w:type="dxa"/>
        <w:right w:w="115" w:type="dxa"/>
      </w:tblCellMar>
    </w:tblPr>
  </w:style>
  <w:style w:type="table" w:customStyle="1" w:styleId="afffffffff">
    <w:basedOn w:val="TableNormal5"/>
    <w:tblPr>
      <w:tblStyleRowBandSize w:val="1"/>
      <w:tblStyleColBandSize w:val="1"/>
      <w:tblCellMar>
        <w:left w:w="115" w:type="dxa"/>
        <w:right w:w="115" w:type="dxa"/>
      </w:tblCellMar>
    </w:tblPr>
  </w:style>
  <w:style w:type="table" w:customStyle="1" w:styleId="afffffffff0">
    <w:basedOn w:val="TableNormal5"/>
    <w:tblPr>
      <w:tblStyleRowBandSize w:val="1"/>
      <w:tblStyleColBandSize w:val="1"/>
      <w:tblCellMar>
        <w:left w:w="115" w:type="dxa"/>
        <w:right w:w="115" w:type="dxa"/>
      </w:tblCellMar>
    </w:tblPr>
  </w:style>
  <w:style w:type="table" w:customStyle="1" w:styleId="afffffffff1">
    <w:basedOn w:val="TableNormal5"/>
    <w:tblPr>
      <w:tblStyleRowBandSize w:val="1"/>
      <w:tblStyleColBandSize w:val="1"/>
      <w:tblCellMar>
        <w:left w:w="115" w:type="dxa"/>
        <w:right w:w="115" w:type="dxa"/>
      </w:tblCellMar>
    </w:tblPr>
  </w:style>
  <w:style w:type="table" w:customStyle="1" w:styleId="afffffffff2">
    <w:basedOn w:val="TableNormal5"/>
    <w:tblPr>
      <w:tblStyleRowBandSize w:val="1"/>
      <w:tblStyleColBandSize w:val="1"/>
      <w:tblCellMar>
        <w:left w:w="115" w:type="dxa"/>
        <w:right w:w="115" w:type="dxa"/>
      </w:tblCellMar>
    </w:tblPr>
  </w:style>
  <w:style w:type="table" w:customStyle="1" w:styleId="afffffffff3">
    <w:basedOn w:val="TableNormal5"/>
    <w:tblPr>
      <w:tblStyleRowBandSize w:val="1"/>
      <w:tblStyleColBandSize w:val="1"/>
      <w:tblCellMar>
        <w:left w:w="115" w:type="dxa"/>
        <w:right w:w="115" w:type="dxa"/>
      </w:tblCellMar>
    </w:tblPr>
  </w:style>
  <w:style w:type="table" w:customStyle="1" w:styleId="afffffffff4">
    <w:basedOn w:val="TableNormal5"/>
    <w:tblPr>
      <w:tblStyleRowBandSize w:val="1"/>
      <w:tblStyleColBandSize w:val="1"/>
      <w:tblCellMar>
        <w:left w:w="115" w:type="dxa"/>
        <w:right w:w="115" w:type="dxa"/>
      </w:tblCellMar>
    </w:tblPr>
  </w:style>
  <w:style w:type="table" w:customStyle="1" w:styleId="afffffffff5">
    <w:basedOn w:val="TableNormal5"/>
    <w:tblPr>
      <w:tblStyleRowBandSize w:val="1"/>
      <w:tblStyleColBandSize w:val="1"/>
      <w:tblCellMar>
        <w:left w:w="115" w:type="dxa"/>
        <w:right w:w="115" w:type="dxa"/>
      </w:tblCellMar>
    </w:tblPr>
  </w:style>
  <w:style w:type="table" w:customStyle="1" w:styleId="afffffffff6">
    <w:basedOn w:val="TableNormal5"/>
    <w:tblPr>
      <w:tblStyleRowBandSize w:val="1"/>
      <w:tblStyleColBandSize w:val="1"/>
      <w:tblCellMar>
        <w:left w:w="115" w:type="dxa"/>
        <w:right w:w="115" w:type="dxa"/>
      </w:tblCellMar>
    </w:tblPr>
  </w:style>
  <w:style w:type="table" w:customStyle="1" w:styleId="afffffffff7">
    <w:basedOn w:val="TableNormal5"/>
    <w:tblPr>
      <w:tblStyleRowBandSize w:val="1"/>
      <w:tblStyleColBandSize w:val="1"/>
      <w:tblCellMar>
        <w:left w:w="115" w:type="dxa"/>
        <w:right w:w="115" w:type="dxa"/>
      </w:tblCellMar>
    </w:tblPr>
  </w:style>
  <w:style w:type="table" w:customStyle="1" w:styleId="afffffffff8">
    <w:basedOn w:val="TableNormal5"/>
    <w:tblPr>
      <w:tblStyleRowBandSize w:val="1"/>
      <w:tblStyleColBandSize w:val="1"/>
      <w:tblCellMar>
        <w:left w:w="115" w:type="dxa"/>
        <w:right w:w="115" w:type="dxa"/>
      </w:tblCellMar>
    </w:tblPr>
  </w:style>
  <w:style w:type="table" w:customStyle="1" w:styleId="afffffffff9">
    <w:basedOn w:val="TableNormal5"/>
    <w:tblPr>
      <w:tblStyleRowBandSize w:val="1"/>
      <w:tblStyleColBandSize w:val="1"/>
      <w:tblCellMar>
        <w:left w:w="115" w:type="dxa"/>
        <w:right w:w="115" w:type="dxa"/>
      </w:tblCellMar>
    </w:tblPr>
  </w:style>
  <w:style w:type="table" w:customStyle="1" w:styleId="afffffffffa">
    <w:basedOn w:val="TableNormal5"/>
    <w:tblPr>
      <w:tblStyleRowBandSize w:val="1"/>
      <w:tblStyleColBandSize w:val="1"/>
      <w:tblCellMar>
        <w:left w:w="115" w:type="dxa"/>
        <w:right w:w="115" w:type="dxa"/>
      </w:tblCellMar>
    </w:tblPr>
  </w:style>
  <w:style w:type="table" w:customStyle="1" w:styleId="afffffffffb">
    <w:basedOn w:val="TableNormal5"/>
    <w:tblPr>
      <w:tblStyleRowBandSize w:val="1"/>
      <w:tblStyleColBandSize w:val="1"/>
      <w:tblCellMar>
        <w:left w:w="115" w:type="dxa"/>
        <w:right w:w="115" w:type="dxa"/>
      </w:tblCellMar>
    </w:tblPr>
  </w:style>
  <w:style w:type="table" w:customStyle="1" w:styleId="afffffffffc">
    <w:basedOn w:val="TableNormal5"/>
    <w:tblPr>
      <w:tblStyleRowBandSize w:val="1"/>
      <w:tblStyleColBandSize w:val="1"/>
      <w:tblCellMar>
        <w:left w:w="115" w:type="dxa"/>
        <w:right w:w="115" w:type="dxa"/>
      </w:tblCellMar>
    </w:tblPr>
  </w:style>
  <w:style w:type="table" w:customStyle="1" w:styleId="afffffffffd">
    <w:basedOn w:val="TableNormal5"/>
    <w:tblPr>
      <w:tblStyleRowBandSize w:val="1"/>
      <w:tblStyleColBandSize w:val="1"/>
      <w:tblCellMar>
        <w:left w:w="115" w:type="dxa"/>
        <w:right w:w="115" w:type="dxa"/>
      </w:tblCellMar>
    </w:tblPr>
  </w:style>
  <w:style w:type="table" w:customStyle="1" w:styleId="afffffffffe">
    <w:basedOn w:val="TableNormal5"/>
    <w:tblPr>
      <w:tblStyleRowBandSize w:val="1"/>
      <w:tblStyleColBandSize w:val="1"/>
      <w:tblCellMar>
        <w:left w:w="115" w:type="dxa"/>
        <w:right w:w="115" w:type="dxa"/>
      </w:tblCellMar>
    </w:tblPr>
  </w:style>
  <w:style w:type="table" w:customStyle="1" w:styleId="affffffffff">
    <w:basedOn w:val="TableNormal5"/>
    <w:tblPr>
      <w:tblStyleRowBandSize w:val="1"/>
      <w:tblStyleColBandSize w:val="1"/>
      <w:tblCellMar>
        <w:left w:w="115" w:type="dxa"/>
        <w:right w:w="115" w:type="dxa"/>
      </w:tblCellMar>
    </w:tblPr>
  </w:style>
  <w:style w:type="table" w:customStyle="1" w:styleId="affffffffff0">
    <w:basedOn w:val="TableNormal5"/>
    <w:tblPr>
      <w:tblStyleRowBandSize w:val="1"/>
      <w:tblStyleColBandSize w:val="1"/>
      <w:tblCellMar>
        <w:left w:w="115" w:type="dxa"/>
        <w:right w:w="115" w:type="dxa"/>
      </w:tblCellMar>
    </w:tblPr>
  </w:style>
  <w:style w:type="table" w:customStyle="1" w:styleId="affffffffff1">
    <w:basedOn w:val="TableNormal5"/>
    <w:tblPr>
      <w:tblStyleRowBandSize w:val="1"/>
      <w:tblStyleColBandSize w:val="1"/>
      <w:tblCellMar>
        <w:left w:w="115" w:type="dxa"/>
        <w:right w:w="115" w:type="dxa"/>
      </w:tblCellMar>
    </w:tblPr>
  </w:style>
  <w:style w:type="table" w:customStyle="1" w:styleId="affffffffff2">
    <w:basedOn w:val="TableNormal5"/>
    <w:tblPr>
      <w:tblStyleRowBandSize w:val="1"/>
      <w:tblStyleColBandSize w:val="1"/>
      <w:tblCellMar>
        <w:left w:w="115" w:type="dxa"/>
        <w:right w:w="115" w:type="dxa"/>
      </w:tblCellMar>
    </w:tblPr>
  </w:style>
  <w:style w:type="table" w:customStyle="1" w:styleId="affffffffff3">
    <w:basedOn w:val="TableNormal5"/>
    <w:tblPr>
      <w:tblStyleRowBandSize w:val="1"/>
      <w:tblStyleColBandSize w:val="1"/>
      <w:tblCellMar>
        <w:left w:w="115" w:type="dxa"/>
        <w:right w:w="115" w:type="dxa"/>
      </w:tblCellMar>
    </w:tblPr>
  </w:style>
  <w:style w:type="table" w:customStyle="1" w:styleId="affffffffff4">
    <w:basedOn w:val="TableNormal5"/>
    <w:tblPr>
      <w:tblStyleRowBandSize w:val="1"/>
      <w:tblStyleColBandSize w:val="1"/>
      <w:tblCellMar>
        <w:left w:w="115" w:type="dxa"/>
        <w:right w:w="115" w:type="dxa"/>
      </w:tblCellMar>
    </w:tblPr>
  </w:style>
  <w:style w:type="table" w:customStyle="1" w:styleId="affffffffff5">
    <w:basedOn w:val="TableNormal5"/>
    <w:tblPr>
      <w:tblStyleRowBandSize w:val="1"/>
      <w:tblStyleColBandSize w:val="1"/>
      <w:tblCellMar>
        <w:left w:w="115" w:type="dxa"/>
        <w:right w:w="115" w:type="dxa"/>
      </w:tblCellMar>
    </w:tblPr>
  </w:style>
  <w:style w:type="table" w:customStyle="1" w:styleId="affffffffff6">
    <w:basedOn w:val="TableNormal5"/>
    <w:tblPr>
      <w:tblStyleRowBandSize w:val="1"/>
      <w:tblStyleColBandSize w:val="1"/>
      <w:tblCellMar>
        <w:left w:w="115" w:type="dxa"/>
        <w:right w:w="115" w:type="dxa"/>
      </w:tblCellMar>
    </w:tblPr>
  </w:style>
  <w:style w:type="table" w:customStyle="1" w:styleId="affffffffff7">
    <w:basedOn w:val="TableNormal5"/>
    <w:tblPr>
      <w:tblStyleRowBandSize w:val="1"/>
      <w:tblStyleColBandSize w:val="1"/>
      <w:tblCellMar>
        <w:left w:w="115" w:type="dxa"/>
        <w:right w:w="115" w:type="dxa"/>
      </w:tblCellMar>
    </w:tblPr>
  </w:style>
  <w:style w:type="table" w:customStyle="1" w:styleId="affffffffff8">
    <w:basedOn w:val="TableNormal5"/>
    <w:tblPr>
      <w:tblStyleRowBandSize w:val="1"/>
      <w:tblStyleColBandSize w:val="1"/>
      <w:tblCellMar>
        <w:left w:w="115" w:type="dxa"/>
        <w:right w:w="115" w:type="dxa"/>
      </w:tblCellMar>
    </w:tblPr>
  </w:style>
  <w:style w:type="table" w:customStyle="1" w:styleId="affffffffff9">
    <w:basedOn w:val="TableNormal5"/>
    <w:tblPr>
      <w:tblStyleRowBandSize w:val="1"/>
      <w:tblStyleColBandSize w:val="1"/>
      <w:tblCellMar>
        <w:left w:w="115" w:type="dxa"/>
        <w:right w:w="115" w:type="dxa"/>
      </w:tblCellMar>
    </w:tblPr>
  </w:style>
  <w:style w:type="table" w:customStyle="1" w:styleId="affffffffffa">
    <w:basedOn w:val="TableNormal5"/>
    <w:tblPr>
      <w:tblStyleRowBandSize w:val="1"/>
      <w:tblStyleColBandSize w:val="1"/>
      <w:tblCellMar>
        <w:left w:w="115" w:type="dxa"/>
        <w:right w:w="115" w:type="dxa"/>
      </w:tblCellMar>
    </w:tblPr>
  </w:style>
  <w:style w:type="table" w:customStyle="1" w:styleId="affffffffffb">
    <w:basedOn w:val="TableNormal5"/>
    <w:tblPr>
      <w:tblStyleRowBandSize w:val="1"/>
      <w:tblStyleColBandSize w:val="1"/>
      <w:tblCellMar>
        <w:left w:w="115" w:type="dxa"/>
        <w:right w:w="115" w:type="dxa"/>
      </w:tblCellMar>
    </w:tblPr>
  </w:style>
  <w:style w:type="table" w:customStyle="1" w:styleId="affffffffffc">
    <w:basedOn w:val="TableNormal5"/>
    <w:tblPr>
      <w:tblStyleRowBandSize w:val="1"/>
      <w:tblStyleColBandSize w:val="1"/>
      <w:tblCellMar>
        <w:left w:w="115" w:type="dxa"/>
        <w:right w:w="115" w:type="dxa"/>
      </w:tblCellMar>
    </w:tblPr>
  </w:style>
  <w:style w:type="table" w:customStyle="1" w:styleId="affffffffffd">
    <w:basedOn w:val="TableNormal5"/>
    <w:tblPr>
      <w:tblStyleRowBandSize w:val="1"/>
      <w:tblStyleColBandSize w:val="1"/>
      <w:tblCellMar>
        <w:left w:w="115" w:type="dxa"/>
        <w:right w:w="115" w:type="dxa"/>
      </w:tblCellMar>
    </w:tblPr>
  </w:style>
  <w:style w:type="table" w:customStyle="1" w:styleId="affffffffffe">
    <w:basedOn w:val="TableNormal5"/>
    <w:tblPr>
      <w:tblStyleRowBandSize w:val="1"/>
      <w:tblStyleColBandSize w:val="1"/>
      <w:tblCellMar>
        <w:left w:w="115" w:type="dxa"/>
        <w:right w:w="115" w:type="dxa"/>
      </w:tblCellMar>
    </w:tblPr>
  </w:style>
  <w:style w:type="table" w:customStyle="1" w:styleId="afffffffffff">
    <w:basedOn w:val="TableNormal5"/>
    <w:tblPr>
      <w:tblStyleRowBandSize w:val="1"/>
      <w:tblStyleColBandSize w:val="1"/>
      <w:tblCellMar>
        <w:left w:w="115" w:type="dxa"/>
        <w:right w:w="115" w:type="dxa"/>
      </w:tblCellMar>
    </w:tblPr>
  </w:style>
  <w:style w:type="table" w:customStyle="1" w:styleId="afffffffffff0">
    <w:basedOn w:val="TableNormal5"/>
    <w:tblPr>
      <w:tblStyleRowBandSize w:val="1"/>
      <w:tblStyleColBandSize w:val="1"/>
      <w:tblCellMar>
        <w:left w:w="115" w:type="dxa"/>
        <w:right w:w="115" w:type="dxa"/>
      </w:tblCellMar>
    </w:tblPr>
  </w:style>
  <w:style w:type="table" w:customStyle="1" w:styleId="afffffffffff1">
    <w:basedOn w:val="TableNormal5"/>
    <w:tblPr>
      <w:tblStyleRowBandSize w:val="1"/>
      <w:tblStyleColBandSize w:val="1"/>
      <w:tblCellMar>
        <w:left w:w="115" w:type="dxa"/>
        <w:right w:w="115" w:type="dxa"/>
      </w:tblCellMar>
    </w:tblPr>
  </w:style>
  <w:style w:type="table" w:customStyle="1" w:styleId="afffffffffff2">
    <w:basedOn w:val="TableNormal5"/>
    <w:tblPr>
      <w:tblStyleRowBandSize w:val="1"/>
      <w:tblStyleColBandSize w:val="1"/>
      <w:tblCellMar>
        <w:left w:w="115" w:type="dxa"/>
        <w:right w:w="115" w:type="dxa"/>
      </w:tblCellMar>
    </w:tblPr>
  </w:style>
  <w:style w:type="table" w:customStyle="1" w:styleId="afffffffffff3">
    <w:basedOn w:val="TableNormal5"/>
    <w:tblPr>
      <w:tblStyleRowBandSize w:val="1"/>
      <w:tblStyleColBandSize w:val="1"/>
      <w:tblCellMar>
        <w:left w:w="115" w:type="dxa"/>
        <w:right w:w="115" w:type="dxa"/>
      </w:tblCellMar>
    </w:tblPr>
  </w:style>
  <w:style w:type="table" w:customStyle="1" w:styleId="afffffffffff4">
    <w:basedOn w:val="TableNormal5"/>
    <w:tblPr>
      <w:tblStyleRowBandSize w:val="1"/>
      <w:tblStyleColBandSize w:val="1"/>
      <w:tblCellMar>
        <w:left w:w="115" w:type="dxa"/>
        <w:right w:w="115" w:type="dxa"/>
      </w:tblCellMar>
    </w:tblPr>
  </w:style>
  <w:style w:type="table" w:customStyle="1" w:styleId="afffffffffff5">
    <w:basedOn w:val="TableNormal5"/>
    <w:tblPr>
      <w:tblStyleRowBandSize w:val="1"/>
      <w:tblStyleColBandSize w:val="1"/>
      <w:tblCellMar>
        <w:left w:w="115" w:type="dxa"/>
        <w:right w:w="115" w:type="dxa"/>
      </w:tblCellMar>
    </w:tblPr>
  </w:style>
  <w:style w:type="table" w:customStyle="1" w:styleId="afffffffffff6">
    <w:basedOn w:val="TableNormal5"/>
    <w:tblPr>
      <w:tblStyleRowBandSize w:val="1"/>
      <w:tblStyleColBandSize w:val="1"/>
      <w:tblCellMar>
        <w:left w:w="115" w:type="dxa"/>
        <w:right w:w="115" w:type="dxa"/>
      </w:tblCellMar>
    </w:tblPr>
  </w:style>
  <w:style w:type="table" w:customStyle="1" w:styleId="afffffffffff7">
    <w:basedOn w:val="TableNormal5"/>
    <w:tblPr>
      <w:tblStyleRowBandSize w:val="1"/>
      <w:tblStyleColBandSize w:val="1"/>
      <w:tblCellMar>
        <w:left w:w="115" w:type="dxa"/>
        <w:right w:w="115" w:type="dxa"/>
      </w:tblCellMar>
    </w:tblPr>
  </w:style>
  <w:style w:type="table" w:customStyle="1" w:styleId="afffffffffff8">
    <w:basedOn w:val="TableNormal5"/>
    <w:tblPr>
      <w:tblStyleRowBandSize w:val="1"/>
      <w:tblStyleColBandSize w:val="1"/>
      <w:tblCellMar>
        <w:left w:w="115" w:type="dxa"/>
        <w:right w:w="115" w:type="dxa"/>
      </w:tblCellMar>
    </w:tblPr>
  </w:style>
  <w:style w:type="table" w:customStyle="1" w:styleId="afffffffffff9">
    <w:basedOn w:val="TableNormal5"/>
    <w:tblPr>
      <w:tblStyleRowBandSize w:val="1"/>
      <w:tblStyleColBandSize w:val="1"/>
      <w:tblCellMar>
        <w:left w:w="115" w:type="dxa"/>
        <w:right w:w="115" w:type="dxa"/>
      </w:tblCellMar>
    </w:tblPr>
  </w:style>
  <w:style w:type="table" w:customStyle="1" w:styleId="afffffffffffa">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FZyyCpK2ZQJPSNAQvkqpY6/vEw==">CgMxLjAyCGguZ2pkZ3hzMg5oLmNsbjIyaXl6OWw2cDIOaC5kbWdxcHM3dmJ2cG44AHIhMUNKUE9DMk5rX2pfZHJUOGl5OUYwQ0VwMUlWTFgtVTdS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2025-05-07T13:29:00Z</dcterms:created>
  <dcterms:modified xsi:type="dcterms:W3CDTF">2025-05-07T13:29:00Z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